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D687" w14:textId="77777777" w:rsidR="00330714" w:rsidRPr="00707F5D" w:rsidRDefault="00330714" w:rsidP="00330714">
      <w:pPr>
        <w:pStyle w:val="Heading2"/>
        <w:rPr>
          <w:rFonts w:eastAsia="Times New Roman"/>
          <w:b/>
          <w:bCs/>
          <w:kern w:val="36"/>
          <w:sz w:val="44"/>
          <w:szCs w:val="44"/>
          <w:lang w:eastAsia="en-GB"/>
          <w14:ligatures w14:val="none"/>
        </w:rPr>
      </w:pPr>
      <w:r w:rsidRPr="00707F5D">
        <w:t>Appendix 1: Coding Framework for Open</w:t>
      </w:r>
      <w:r w:rsidRPr="00707F5D">
        <w:noBreakHyphen/>
        <w:t>Ended</w:t>
      </w:r>
      <w:r w:rsidRPr="00707F5D">
        <w:rPr>
          <w:rFonts w:eastAsia="Times New Roman"/>
          <w:b/>
          <w:bCs/>
          <w:kern w:val="36"/>
          <w:sz w:val="44"/>
          <w:szCs w:val="44"/>
          <w:lang w:eastAsia="en-GB"/>
          <w14:ligatures w14:val="none"/>
        </w:rPr>
        <w:t xml:space="preserve"> </w:t>
      </w:r>
      <w:r w:rsidRPr="00707F5D">
        <w:t>Responses</w:t>
      </w:r>
    </w:p>
    <w:p w14:paraId="5940DFFE" w14:textId="77777777" w:rsidR="00330714" w:rsidRDefault="00330714" w:rsidP="00330714">
      <w:pPr>
        <w:spacing w:before="100" w:beforeAutospacing="1" w:after="100" w:afterAutospacing="1"/>
        <w:rPr>
          <w:rFonts w:ascii="Calibri" w:eastAsia="Times New Roman" w:hAnsi="Calibri" w:cs="Calibri"/>
          <w:kern w:val="0"/>
          <w:sz w:val="22"/>
          <w:szCs w:val="22"/>
          <w:lang w:eastAsia="en-GB"/>
          <w14:ligatures w14:val="none"/>
        </w:rPr>
      </w:pPr>
      <w:r w:rsidRPr="00707F5D">
        <w:rPr>
          <w:rFonts w:ascii="Calibri" w:eastAsia="Times New Roman" w:hAnsi="Calibri" w:cs="Calibri"/>
          <w:kern w:val="0"/>
          <w:sz w:val="22"/>
          <w:szCs w:val="22"/>
          <w:lang w:eastAsia="en-GB"/>
          <w14:ligatures w14:val="none"/>
        </w:rPr>
        <w:t>Open</w:t>
      </w:r>
      <w:r w:rsidRPr="00707F5D">
        <w:rPr>
          <w:rFonts w:ascii="Calibri" w:eastAsia="Times New Roman" w:hAnsi="Calibri" w:cs="Calibri"/>
          <w:kern w:val="0"/>
          <w:sz w:val="22"/>
          <w:szCs w:val="22"/>
          <w:lang w:eastAsia="en-GB"/>
          <w14:ligatures w14:val="none"/>
        </w:rPr>
        <w:noBreakHyphen/>
        <w:t>ended survey responses were coded using a structured framework to organise comments under the key UX themes identified in the quantitative analysis. As the qualitative data served only to contextualise the statistical findings, coding was limited to categorising responses into themes and sub</w:t>
      </w:r>
      <w:r w:rsidRPr="00707F5D">
        <w:rPr>
          <w:rFonts w:ascii="Calibri" w:eastAsia="Times New Roman" w:hAnsi="Calibri" w:cs="Calibri"/>
          <w:kern w:val="0"/>
          <w:sz w:val="22"/>
          <w:szCs w:val="22"/>
          <w:lang w:eastAsia="en-GB"/>
          <w14:ligatures w14:val="none"/>
        </w:rPr>
        <w:noBreakHyphen/>
        <w:t>themes rather than conducting full thematic analysis. The coding framework is presented below.</w:t>
      </w:r>
    </w:p>
    <w:p w14:paraId="28DE0325" w14:textId="77777777" w:rsidR="00330714" w:rsidRPr="00707F5D" w:rsidRDefault="00330714" w:rsidP="00330714">
      <w:pPr>
        <w:spacing w:before="100" w:beforeAutospacing="1" w:after="100" w:afterAutospacing="1"/>
        <w:rPr>
          <w:rFonts w:ascii="Calibri" w:eastAsia="Times New Roman" w:hAnsi="Calibri" w:cs="Calibri"/>
          <w:kern w:val="0"/>
          <w:sz w:val="22"/>
          <w:szCs w:val="22"/>
          <w:lang w:eastAsia="en-GB"/>
          <w14:ligatures w14:val="none"/>
        </w:rPr>
      </w:pPr>
      <w:r w:rsidRPr="00E9410E">
        <w:rPr>
          <w:rFonts w:ascii="Calibri" w:eastAsia="Times New Roman" w:hAnsi="Calibri" w:cs="Calibri"/>
          <w:kern w:val="0"/>
          <w:sz w:val="22"/>
          <w:szCs w:val="22"/>
          <w:lang w:eastAsia="en-GB"/>
          <w14:ligatures w14:val="none"/>
        </w:rPr>
        <w:t>Table 2 Coding Framework for Open Ended Responses</w:t>
      </w:r>
    </w:p>
    <w:tbl>
      <w:tblPr>
        <w:tblStyle w:val="TableGrid"/>
        <w:tblW w:w="0" w:type="auto"/>
        <w:tblLook w:val="04A0" w:firstRow="1" w:lastRow="0" w:firstColumn="1" w:lastColumn="0" w:noHBand="0" w:noVBand="1"/>
      </w:tblPr>
      <w:tblGrid>
        <w:gridCol w:w="1830"/>
        <w:gridCol w:w="3021"/>
        <w:gridCol w:w="4159"/>
      </w:tblGrid>
      <w:tr w:rsidR="00330714" w:rsidRPr="00707F5D" w14:paraId="4EC0E4DC" w14:textId="77777777" w:rsidTr="006D0DDC">
        <w:tc>
          <w:tcPr>
            <w:tcW w:w="0" w:type="auto"/>
            <w:hideMark/>
          </w:tcPr>
          <w:p w14:paraId="682B5D2F" w14:textId="77777777" w:rsidR="00330714" w:rsidRPr="0017776C" w:rsidRDefault="00330714" w:rsidP="006D0DDC">
            <w:pPr>
              <w:jc w:val="center"/>
              <w:rPr>
                <w:rFonts w:ascii="Calibri" w:eastAsia="Times New Roman" w:hAnsi="Calibri" w:cs="Calibri"/>
                <w:b/>
                <w:bCs/>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Theme</w:t>
            </w:r>
          </w:p>
        </w:tc>
        <w:tc>
          <w:tcPr>
            <w:tcW w:w="0" w:type="auto"/>
            <w:hideMark/>
          </w:tcPr>
          <w:p w14:paraId="62A2BD7F" w14:textId="77777777" w:rsidR="00330714" w:rsidRPr="0017776C" w:rsidRDefault="00330714" w:rsidP="006D0DDC">
            <w:pPr>
              <w:jc w:val="center"/>
              <w:rPr>
                <w:rFonts w:ascii="Calibri" w:eastAsia="Times New Roman" w:hAnsi="Calibri" w:cs="Calibri"/>
                <w:b/>
                <w:bCs/>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Sub</w:t>
            </w:r>
            <w:r w:rsidRPr="0017776C">
              <w:rPr>
                <w:rFonts w:ascii="Calibri" w:eastAsia="Times New Roman" w:hAnsi="Calibri" w:cs="Calibri"/>
                <w:b/>
                <w:bCs/>
                <w:kern w:val="0"/>
                <w:sz w:val="21"/>
                <w:szCs w:val="21"/>
                <w:lang w:eastAsia="en-GB"/>
                <w14:ligatures w14:val="none"/>
              </w:rPr>
              <w:noBreakHyphen/>
              <w:t>Themes</w:t>
            </w:r>
          </w:p>
        </w:tc>
        <w:tc>
          <w:tcPr>
            <w:tcW w:w="0" w:type="auto"/>
            <w:hideMark/>
          </w:tcPr>
          <w:p w14:paraId="184CA0C8" w14:textId="77777777" w:rsidR="00330714" w:rsidRPr="0017776C" w:rsidRDefault="00330714" w:rsidP="006D0DDC">
            <w:pPr>
              <w:jc w:val="center"/>
              <w:rPr>
                <w:rFonts w:ascii="Calibri" w:eastAsia="Times New Roman" w:hAnsi="Calibri" w:cs="Calibri"/>
                <w:b/>
                <w:bCs/>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Description of Coded Responses</w:t>
            </w:r>
          </w:p>
        </w:tc>
      </w:tr>
      <w:tr w:rsidR="00330714" w:rsidRPr="00707F5D" w14:paraId="4E724439" w14:textId="77777777" w:rsidTr="006D0DDC">
        <w:tc>
          <w:tcPr>
            <w:tcW w:w="0" w:type="auto"/>
            <w:hideMark/>
          </w:tcPr>
          <w:p w14:paraId="59189B58"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1. Usability &amp; Interface</w:t>
            </w:r>
          </w:p>
        </w:tc>
        <w:tc>
          <w:tcPr>
            <w:tcW w:w="0" w:type="auto"/>
            <w:hideMark/>
          </w:tcPr>
          <w:p w14:paraId="200C6D7E"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Interface clarity- Navigation- Display &amp; visualisation- Ease of finding settings</w:t>
            </w:r>
          </w:p>
        </w:tc>
        <w:tc>
          <w:tcPr>
            <w:tcW w:w="0" w:type="auto"/>
            <w:hideMark/>
          </w:tcPr>
          <w:p w14:paraId="17D12B2E"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relating to how easy the platform is to use, how intuitive the interface feels, clarity of layout, and how simple it is to locate settings or controls.</w:t>
            </w:r>
          </w:p>
        </w:tc>
      </w:tr>
      <w:tr w:rsidR="00330714" w:rsidRPr="00707F5D" w14:paraId="1F1A0F18" w14:textId="77777777" w:rsidTr="006D0DDC">
        <w:tc>
          <w:tcPr>
            <w:tcW w:w="0" w:type="auto"/>
            <w:hideMark/>
          </w:tcPr>
          <w:p w14:paraId="10B0279C"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2. Reliability &amp; Technical Issues</w:t>
            </w:r>
          </w:p>
        </w:tc>
        <w:tc>
          <w:tcPr>
            <w:tcW w:w="0" w:type="auto"/>
            <w:hideMark/>
          </w:tcPr>
          <w:p w14:paraId="50EC4A89"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Refresh rate / real</w:t>
            </w:r>
            <w:r w:rsidRPr="0017776C">
              <w:rPr>
                <w:rFonts w:ascii="Calibri" w:eastAsia="Times New Roman" w:hAnsi="Calibri" w:cs="Calibri"/>
                <w:kern w:val="0"/>
                <w:sz w:val="21"/>
                <w:szCs w:val="21"/>
                <w:lang w:eastAsia="en-GB"/>
                <w14:ligatures w14:val="none"/>
              </w:rPr>
              <w:noBreakHyphen/>
              <w:t>time data- Missing or inaccurate data- Update issues- Hardware faults- App reliability</w:t>
            </w:r>
          </w:p>
        </w:tc>
        <w:tc>
          <w:tcPr>
            <w:tcW w:w="0" w:type="auto"/>
            <w:hideMark/>
          </w:tcPr>
          <w:p w14:paraId="13F452D2"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describing issues with system stability, slow or delayed data refresh, missing data, problems after updates, inverter/meter faults, or unreliable app performance.</w:t>
            </w:r>
          </w:p>
        </w:tc>
      </w:tr>
      <w:tr w:rsidR="00330714" w:rsidRPr="00707F5D" w14:paraId="31442A6F" w14:textId="77777777" w:rsidTr="006D0DDC">
        <w:tc>
          <w:tcPr>
            <w:tcW w:w="0" w:type="auto"/>
            <w:hideMark/>
          </w:tcPr>
          <w:p w14:paraId="45C1C62A"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3. Support &amp; Service</w:t>
            </w:r>
          </w:p>
        </w:tc>
        <w:tc>
          <w:tcPr>
            <w:tcW w:w="0" w:type="auto"/>
            <w:hideMark/>
          </w:tcPr>
          <w:p w14:paraId="35DC06CF"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Slow or variable support- Limited contact channels- Installer issues</w:t>
            </w:r>
          </w:p>
        </w:tc>
        <w:tc>
          <w:tcPr>
            <w:tcW w:w="0" w:type="auto"/>
            <w:hideMark/>
          </w:tcPr>
          <w:p w14:paraId="54FE0CF6"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relating to customer service responsiveness, lack of phone support, reliance on online chat, and problems caused by installers (incorrect wiring, incomplete setup).</w:t>
            </w:r>
          </w:p>
        </w:tc>
      </w:tr>
      <w:tr w:rsidR="00330714" w:rsidRPr="00707F5D" w14:paraId="3C871C5B" w14:textId="77777777" w:rsidTr="006D0DDC">
        <w:tc>
          <w:tcPr>
            <w:tcW w:w="0" w:type="auto"/>
            <w:hideMark/>
          </w:tcPr>
          <w:p w14:paraId="1F1CC1D6"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4. Integration &amp; Compatibility</w:t>
            </w:r>
          </w:p>
        </w:tc>
        <w:tc>
          <w:tcPr>
            <w:tcW w:w="0" w:type="auto"/>
            <w:hideMark/>
          </w:tcPr>
          <w:p w14:paraId="2D44FC98"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Cross</w:t>
            </w:r>
            <w:r w:rsidRPr="0017776C">
              <w:rPr>
                <w:rFonts w:ascii="Calibri" w:eastAsia="Times New Roman" w:hAnsi="Calibri" w:cs="Calibri"/>
                <w:kern w:val="0"/>
                <w:sz w:val="21"/>
                <w:szCs w:val="21"/>
                <w:lang w:eastAsia="en-GB"/>
                <w14:ligatures w14:val="none"/>
              </w:rPr>
              <w:noBreakHyphen/>
              <w:t>platform integration- Smart home integration- Supplier/inverter compatibility- API access</w:t>
            </w:r>
          </w:p>
        </w:tc>
        <w:tc>
          <w:tcPr>
            <w:tcW w:w="0" w:type="auto"/>
            <w:hideMark/>
          </w:tcPr>
          <w:p w14:paraId="4A9B227E"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describing the need for unified systems, integration with inverters, EV chargers, smart home devices, supplier platforms, and access to APIs for automation.</w:t>
            </w:r>
          </w:p>
        </w:tc>
      </w:tr>
      <w:tr w:rsidR="00330714" w:rsidRPr="00707F5D" w14:paraId="72FAD615" w14:textId="77777777" w:rsidTr="006D0DDC">
        <w:tc>
          <w:tcPr>
            <w:tcW w:w="0" w:type="auto"/>
            <w:hideMark/>
          </w:tcPr>
          <w:p w14:paraId="2657AE12"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5. Setup &amp; Learning Curve</w:t>
            </w:r>
          </w:p>
        </w:tc>
        <w:tc>
          <w:tcPr>
            <w:tcW w:w="0" w:type="auto"/>
            <w:hideMark/>
          </w:tcPr>
          <w:p w14:paraId="0CBDA84E"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Initial setup difficulty- Learning best settings- Adoption barriers</w:t>
            </w:r>
          </w:p>
        </w:tc>
        <w:tc>
          <w:tcPr>
            <w:tcW w:w="0" w:type="auto"/>
            <w:hideMark/>
          </w:tcPr>
          <w:p w14:paraId="62EE81EA"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relating to onboarding challenges, learning how to use the system, understanding optimal settings, and barriers such as smart meter installation or connectivity issues.</w:t>
            </w:r>
          </w:p>
        </w:tc>
      </w:tr>
      <w:tr w:rsidR="00330714" w:rsidRPr="00707F5D" w14:paraId="10799E1F" w14:textId="77777777" w:rsidTr="006D0DDC">
        <w:tc>
          <w:tcPr>
            <w:tcW w:w="0" w:type="auto"/>
            <w:hideMark/>
          </w:tcPr>
          <w:p w14:paraId="1BF3C8EF"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6. Personalisation &amp; Automation</w:t>
            </w:r>
          </w:p>
        </w:tc>
        <w:tc>
          <w:tcPr>
            <w:tcW w:w="0" w:type="auto"/>
            <w:hideMark/>
          </w:tcPr>
          <w:p w14:paraId="7270427A"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Automation features- Custom settings- AI</w:t>
            </w:r>
            <w:r w:rsidRPr="0017776C">
              <w:rPr>
                <w:rFonts w:ascii="Calibri" w:eastAsia="Times New Roman" w:hAnsi="Calibri" w:cs="Calibri"/>
                <w:kern w:val="0"/>
                <w:sz w:val="21"/>
                <w:szCs w:val="21"/>
                <w:lang w:eastAsia="en-GB"/>
                <w14:ligatures w14:val="none"/>
              </w:rPr>
              <w:noBreakHyphen/>
              <w:t>driven features</w:t>
            </w:r>
          </w:p>
        </w:tc>
        <w:tc>
          <w:tcPr>
            <w:tcW w:w="0" w:type="auto"/>
            <w:hideMark/>
          </w:tcPr>
          <w:p w14:paraId="57B3315D"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describing the desire for personalised automations, programmable charge/discharge settings, AI</w:t>
            </w:r>
            <w:r w:rsidRPr="0017776C">
              <w:rPr>
                <w:rFonts w:ascii="Calibri" w:eastAsia="Times New Roman" w:hAnsi="Calibri" w:cs="Calibri"/>
                <w:kern w:val="0"/>
                <w:sz w:val="21"/>
                <w:szCs w:val="21"/>
                <w:lang w:eastAsia="en-GB"/>
                <w14:ligatures w14:val="none"/>
              </w:rPr>
              <w:noBreakHyphen/>
              <w:t>driven optimisation, and more flexible configuration options.</w:t>
            </w:r>
          </w:p>
        </w:tc>
      </w:tr>
      <w:tr w:rsidR="00330714" w:rsidRPr="00707F5D" w14:paraId="3A06C839" w14:textId="77777777" w:rsidTr="006D0DDC">
        <w:tc>
          <w:tcPr>
            <w:tcW w:w="0" w:type="auto"/>
            <w:hideMark/>
          </w:tcPr>
          <w:p w14:paraId="24B3BCDE"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b/>
                <w:bCs/>
                <w:kern w:val="0"/>
                <w:sz w:val="21"/>
                <w:szCs w:val="21"/>
                <w:lang w:eastAsia="en-GB"/>
                <w14:ligatures w14:val="none"/>
              </w:rPr>
              <w:t>7. Data &amp; Monitoring</w:t>
            </w:r>
          </w:p>
        </w:tc>
        <w:tc>
          <w:tcPr>
            <w:tcW w:w="0" w:type="auto"/>
            <w:hideMark/>
          </w:tcPr>
          <w:p w14:paraId="1E614D91"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 Real</w:t>
            </w:r>
            <w:r w:rsidRPr="0017776C">
              <w:rPr>
                <w:rFonts w:ascii="Calibri" w:eastAsia="Times New Roman" w:hAnsi="Calibri" w:cs="Calibri"/>
                <w:kern w:val="0"/>
                <w:sz w:val="21"/>
                <w:szCs w:val="21"/>
                <w:lang w:eastAsia="en-GB"/>
                <w14:ligatures w14:val="none"/>
              </w:rPr>
              <w:noBreakHyphen/>
              <w:t>time monitoring- Energy breakdown- Export/import management- Forecasting &amp; prediction</w:t>
            </w:r>
          </w:p>
        </w:tc>
        <w:tc>
          <w:tcPr>
            <w:tcW w:w="0" w:type="auto"/>
            <w:hideMark/>
          </w:tcPr>
          <w:p w14:paraId="15E98101" w14:textId="77777777" w:rsidR="00330714" w:rsidRPr="0017776C" w:rsidRDefault="00330714" w:rsidP="006D0DDC">
            <w:pPr>
              <w:rPr>
                <w:rFonts w:ascii="Calibri" w:eastAsia="Times New Roman" w:hAnsi="Calibri" w:cs="Calibri"/>
                <w:kern w:val="0"/>
                <w:sz w:val="21"/>
                <w:szCs w:val="21"/>
                <w:lang w:eastAsia="en-GB"/>
                <w14:ligatures w14:val="none"/>
              </w:rPr>
            </w:pPr>
            <w:r w:rsidRPr="0017776C">
              <w:rPr>
                <w:rFonts w:ascii="Calibri" w:eastAsia="Times New Roman" w:hAnsi="Calibri" w:cs="Calibri"/>
                <w:kern w:val="0"/>
                <w:sz w:val="21"/>
                <w:szCs w:val="21"/>
                <w:lang w:eastAsia="en-GB"/>
                <w14:ligatures w14:val="none"/>
              </w:rPr>
              <w:t>Comments relating to real</w:t>
            </w:r>
            <w:r w:rsidRPr="0017776C">
              <w:rPr>
                <w:rFonts w:ascii="Calibri" w:eastAsia="Times New Roman" w:hAnsi="Calibri" w:cs="Calibri"/>
                <w:kern w:val="0"/>
                <w:sz w:val="21"/>
                <w:szCs w:val="21"/>
                <w:lang w:eastAsia="en-GB"/>
                <w14:ligatures w14:val="none"/>
              </w:rPr>
              <w:noBreakHyphen/>
              <w:t>time visibility of energy flows, detailed breakdowns of usage and export, ability to export data (CSV/Excel), and predictive tools such as solar forecasting.</w:t>
            </w:r>
          </w:p>
        </w:tc>
      </w:tr>
    </w:tbl>
    <w:p w14:paraId="2A7E7ACD" w14:textId="1F27AA80" w:rsidR="00457F92" w:rsidRPr="00330714" w:rsidRDefault="00457F92">
      <w:pPr>
        <w:rPr>
          <w:rFonts w:ascii="Calibri" w:eastAsiaTheme="majorEastAsia" w:hAnsi="Calibri" w:cs="Calibri"/>
          <w:color w:val="0F4761" w:themeColor="accent1" w:themeShade="BF"/>
        </w:rPr>
      </w:pPr>
    </w:p>
    <w:sectPr w:rsidR="00457F92" w:rsidRPr="00330714" w:rsidSect="00330714">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A3D55" w14:textId="77777777" w:rsidR="00B23024" w:rsidRDefault="00B23024" w:rsidP="008B27A4">
      <w:r>
        <w:separator/>
      </w:r>
    </w:p>
  </w:endnote>
  <w:endnote w:type="continuationSeparator" w:id="0">
    <w:p w14:paraId="6F74557B" w14:textId="77777777" w:rsidR="00B23024" w:rsidRDefault="00B23024" w:rsidP="008B2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4675567"/>
      <w:docPartObj>
        <w:docPartGallery w:val="Page Numbers (Bottom of Page)"/>
        <w:docPartUnique/>
      </w:docPartObj>
    </w:sdtPr>
    <w:sdtContent>
      <w:p w14:paraId="7B8474D6" w14:textId="77777777" w:rsidR="00330714" w:rsidRDefault="00330714" w:rsidP="00B303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38342D6" w14:textId="77777777" w:rsidR="00330714" w:rsidRDefault="00330714" w:rsidP="001045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5407868"/>
      <w:docPartObj>
        <w:docPartGallery w:val="Page Numbers (Bottom of Page)"/>
        <w:docPartUnique/>
      </w:docPartObj>
    </w:sdtPr>
    <w:sdtEndPr>
      <w:rPr>
        <w:rStyle w:val="PageNumber"/>
        <w:rFonts w:ascii="Calibri" w:hAnsi="Calibri" w:cs="Calibri"/>
        <w:sz w:val="22"/>
        <w:szCs w:val="22"/>
      </w:rPr>
    </w:sdtEndPr>
    <w:sdtContent>
      <w:p w14:paraId="278D96F3" w14:textId="736AEB8E" w:rsidR="00330714" w:rsidRPr="001045D3" w:rsidRDefault="00330714" w:rsidP="00B3034A">
        <w:pPr>
          <w:pStyle w:val="Footer"/>
          <w:framePr w:wrap="none" w:vAnchor="text" w:hAnchor="margin" w:xAlign="right" w:y="1"/>
          <w:rPr>
            <w:rStyle w:val="PageNumber"/>
            <w:rFonts w:ascii="Calibri" w:hAnsi="Calibri" w:cs="Calibri"/>
            <w:sz w:val="22"/>
            <w:szCs w:val="22"/>
          </w:rPr>
        </w:pPr>
      </w:p>
    </w:sdtContent>
  </w:sdt>
  <w:p w14:paraId="7DE4A63D" w14:textId="77777777" w:rsidR="00330714" w:rsidRPr="001045D3" w:rsidRDefault="00330714" w:rsidP="001045D3">
    <w:pPr>
      <w:pStyle w:val="Footer"/>
      <w:ind w:right="360"/>
      <w:rPr>
        <w:rFonts w:ascii="Calibri" w:hAnsi="Calibri" w:cs="Calibr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BE28" w14:textId="77777777" w:rsidR="008B27A4" w:rsidRDefault="008B2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0EEB8" w14:textId="77777777" w:rsidR="00B23024" w:rsidRDefault="00B23024" w:rsidP="008B27A4">
      <w:r>
        <w:separator/>
      </w:r>
    </w:p>
  </w:footnote>
  <w:footnote w:type="continuationSeparator" w:id="0">
    <w:p w14:paraId="0C153C03" w14:textId="77777777" w:rsidR="00B23024" w:rsidRDefault="00B23024" w:rsidP="008B2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DDA8" w14:textId="77777777" w:rsidR="008B27A4" w:rsidRDefault="008B2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5AF7B" w14:textId="77777777" w:rsidR="008B27A4" w:rsidRDefault="008B2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90572" w14:textId="77777777" w:rsidR="008B27A4" w:rsidRDefault="008B2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714"/>
    <w:rsid w:val="00014A80"/>
    <w:rsid w:val="001126D8"/>
    <w:rsid w:val="00330714"/>
    <w:rsid w:val="00457F92"/>
    <w:rsid w:val="005020D1"/>
    <w:rsid w:val="008B27A4"/>
    <w:rsid w:val="00B230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0F15B"/>
  <w15:chartTrackingRefBased/>
  <w15:docId w15:val="{BC38B58D-E61A-4835-8FCC-41A988828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714"/>
    <w:pPr>
      <w:spacing w:after="0" w:line="240" w:lineRule="auto"/>
    </w:pPr>
  </w:style>
  <w:style w:type="paragraph" w:styleId="Heading1">
    <w:name w:val="heading 1"/>
    <w:basedOn w:val="Normal"/>
    <w:next w:val="Normal"/>
    <w:link w:val="Heading1Char"/>
    <w:uiPriority w:val="9"/>
    <w:qFormat/>
    <w:rsid w:val="0033071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071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71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714"/>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714"/>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714"/>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714"/>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714"/>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714"/>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0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714"/>
    <w:rPr>
      <w:rFonts w:eastAsiaTheme="majorEastAsia" w:cstheme="majorBidi"/>
      <w:color w:val="272727" w:themeColor="text1" w:themeTint="D8"/>
    </w:rPr>
  </w:style>
  <w:style w:type="paragraph" w:styleId="Title">
    <w:name w:val="Title"/>
    <w:basedOn w:val="Normal"/>
    <w:next w:val="Normal"/>
    <w:link w:val="TitleChar"/>
    <w:uiPriority w:val="10"/>
    <w:qFormat/>
    <w:rsid w:val="003307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714"/>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714"/>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330714"/>
    <w:rPr>
      <w:i/>
      <w:iCs/>
      <w:color w:val="404040" w:themeColor="text1" w:themeTint="BF"/>
    </w:rPr>
  </w:style>
  <w:style w:type="paragraph" w:styleId="ListParagraph">
    <w:name w:val="List Paragraph"/>
    <w:basedOn w:val="Normal"/>
    <w:uiPriority w:val="34"/>
    <w:qFormat/>
    <w:rsid w:val="00330714"/>
    <w:pPr>
      <w:spacing w:after="160" w:line="278" w:lineRule="auto"/>
      <w:ind w:left="720"/>
      <w:contextualSpacing/>
    </w:pPr>
  </w:style>
  <w:style w:type="character" w:styleId="IntenseEmphasis">
    <w:name w:val="Intense Emphasis"/>
    <w:basedOn w:val="DefaultParagraphFont"/>
    <w:uiPriority w:val="21"/>
    <w:qFormat/>
    <w:rsid w:val="00330714"/>
    <w:rPr>
      <w:i/>
      <w:iCs/>
      <w:color w:val="0F4761" w:themeColor="accent1" w:themeShade="BF"/>
    </w:rPr>
  </w:style>
  <w:style w:type="paragraph" w:styleId="IntenseQuote">
    <w:name w:val="Intense Quote"/>
    <w:basedOn w:val="Normal"/>
    <w:next w:val="Normal"/>
    <w:link w:val="IntenseQuoteChar"/>
    <w:uiPriority w:val="30"/>
    <w:qFormat/>
    <w:rsid w:val="0033071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714"/>
    <w:rPr>
      <w:i/>
      <w:iCs/>
      <w:color w:val="0F4761" w:themeColor="accent1" w:themeShade="BF"/>
    </w:rPr>
  </w:style>
  <w:style w:type="character" w:styleId="IntenseReference">
    <w:name w:val="Intense Reference"/>
    <w:basedOn w:val="DefaultParagraphFont"/>
    <w:uiPriority w:val="32"/>
    <w:qFormat/>
    <w:rsid w:val="00330714"/>
    <w:rPr>
      <w:b/>
      <w:bCs/>
      <w:smallCaps/>
      <w:color w:val="0F4761" w:themeColor="accent1" w:themeShade="BF"/>
      <w:spacing w:val="5"/>
    </w:rPr>
  </w:style>
  <w:style w:type="paragraph" w:styleId="NormalWeb">
    <w:name w:val="Normal (Web)"/>
    <w:basedOn w:val="Normal"/>
    <w:uiPriority w:val="99"/>
    <w:unhideWhenUsed/>
    <w:rsid w:val="00330714"/>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330714"/>
    <w:pPr>
      <w:tabs>
        <w:tab w:val="center" w:pos="4680"/>
        <w:tab w:val="right" w:pos="9360"/>
      </w:tabs>
    </w:pPr>
  </w:style>
  <w:style w:type="character" w:customStyle="1" w:styleId="FooterChar">
    <w:name w:val="Footer Char"/>
    <w:basedOn w:val="DefaultParagraphFont"/>
    <w:link w:val="Footer"/>
    <w:uiPriority w:val="99"/>
    <w:rsid w:val="00330714"/>
  </w:style>
  <w:style w:type="table" w:styleId="TableGrid">
    <w:name w:val="Table Grid"/>
    <w:basedOn w:val="TableNormal"/>
    <w:uiPriority w:val="39"/>
    <w:rsid w:val="00330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30714"/>
  </w:style>
  <w:style w:type="paragraph" w:styleId="Header">
    <w:name w:val="header"/>
    <w:basedOn w:val="Normal"/>
    <w:link w:val="HeaderChar"/>
    <w:uiPriority w:val="99"/>
    <w:unhideWhenUsed/>
    <w:rsid w:val="008B27A4"/>
    <w:pPr>
      <w:tabs>
        <w:tab w:val="center" w:pos="4513"/>
        <w:tab w:val="right" w:pos="9026"/>
      </w:tabs>
    </w:pPr>
  </w:style>
  <w:style w:type="character" w:customStyle="1" w:styleId="HeaderChar">
    <w:name w:val="Header Char"/>
    <w:basedOn w:val="DefaultParagraphFont"/>
    <w:link w:val="Header"/>
    <w:uiPriority w:val="99"/>
    <w:rsid w:val="008B2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2151</Characters>
  <Application>Microsoft Office Word</Application>
  <DocSecurity>0</DocSecurity>
  <Lines>17</Lines>
  <Paragraphs>5</Paragraphs>
  <ScaleCrop>false</ScaleCrop>
  <Company>University of Salford</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Morrin</dc:creator>
  <cp:keywords/>
  <dc:description/>
  <cp:lastModifiedBy>Stephen Morrin</cp:lastModifiedBy>
  <cp:revision>2</cp:revision>
  <dcterms:created xsi:type="dcterms:W3CDTF">2026-09-18T13:45:00Z</dcterms:created>
  <dcterms:modified xsi:type="dcterms:W3CDTF">2026-09-18T13:47:00Z</dcterms:modified>
</cp:coreProperties>
</file>