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1BF26" w14:textId="77777777" w:rsidR="00F962E5" w:rsidRPr="003D4574" w:rsidRDefault="00F962E5" w:rsidP="00F962E5">
      <w:pPr>
        <w:spacing w:line="240" w:lineRule="auto"/>
        <w:rPr>
          <w:rFonts w:eastAsia="Times New Roman"/>
          <w:kern w:val="2"/>
          <w:sz w:val="24"/>
          <w:szCs w:val="24"/>
          <w:lang w:val="en-GB" w:eastAsia="en-GB"/>
        </w:rPr>
      </w:pPr>
    </w:p>
    <w:p w14:paraId="0C70BBC6" w14:textId="77777777" w:rsidR="00F962E5" w:rsidRPr="00F962E5" w:rsidRDefault="00F962E5" w:rsidP="00F962E5">
      <w:pPr>
        <w:pStyle w:val="Heading1"/>
        <w:rPr>
          <w:color w:val="auto"/>
        </w:rPr>
      </w:pPr>
      <w:r w:rsidRPr="00F962E5">
        <w:rPr>
          <w:color w:val="auto"/>
        </w:rPr>
        <w:t>Appendix A: Sources and Supporting Materials</w:t>
      </w:r>
    </w:p>
    <w:p w14:paraId="5BE06542" w14:textId="77777777" w:rsidR="00F962E5" w:rsidRPr="003D4574" w:rsidRDefault="00F962E5" w:rsidP="00F962E5">
      <w:pPr>
        <w:spacing w:line="240" w:lineRule="auto"/>
        <w:rPr>
          <w:sz w:val="24"/>
          <w:szCs w:val="24"/>
          <w:lang w:val="en-US" w:eastAsia="fr-FR"/>
        </w:rPr>
      </w:pPr>
    </w:p>
    <w:p w14:paraId="4A997602" w14:textId="77777777" w:rsidR="00F962E5" w:rsidRPr="003D4574" w:rsidRDefault="00F962E5" w:rsidP="00F962E5">
      <w:pPr>
        <w:spacing w:line="240" w:lineRule="auto"/>
        <w:rPr>
          <w:b/>
          <w:bCs/>
          <w:sz w:val="24"/>
          <w:szCs w:val="24"/>
          <w:lang w:val="en-US" w:eastAsia="fr-FR"/>
        </w:rPr>
      </w:pPr>
    </w:p>
    <w:p w14:paraId="7C510D2E" w14:textId="77777777" w:rsidR="00F962E5" w:rsidRDefault="00F962E5" w:rsidP="00F962E5">
      <w:pPr>
        <w:spacing w:line="240" w:lineRule="auto"/>
        <w:rPr>
          <w:b/>
          <w:bCs/>
          <w:sz w:val="24"/>
          <w:szCs w:val="24"/>
          <w:lang w:val="en-US" w:eastAsia="fr-FR"/>
        </w:rPr>
      </w:pPr>
      <w:r w:rsidRPr="003D4574">
        <w:rPr>
          <w:b/>
          <w:bCs/>
          <w:sz w:val="24"/>
          <w:szCs w:val="24"/>
          <w:lang w:val="en-US" w:eastAsia="fr-FR"/>
        </w:rPr>
        <w:t>A1. BT Group Annual and D&amp;I Reports</w:t>
      </w:r>
    </w:p>
    <w:p w14:paraId="4C73917A" w14:textId="77777777" w:rsidR="00F962E5" w:rsidRPr="003D4574" w:rsidRDefault="00F962E5" w:rsidP="00F962E5">
      <w:pPr>
        <w:spacing w:line="240" w:lineRule="auto"/>
        <w:rPr>
          <w:b/>
          <w:bCs/>
          <w:sz w:val="24"/>
          <w:szCs w:val="24"/>
          <w:lang w:val="en-US" w:eastAsia="fr-FR"/>
        </w:rPr>
      </w:pPr>
    </w:p>
    <w:p w14:paraId="08A0C13A" w14:textId="77777777" w:rsidR="00F962E5" w:rsidRPr="003D4574" w:rsidRDefault="00F962E5" w:rsidP="00F962E5">
      <w:pPr>
        <w:numPr>
          <w:ilvl w:val="0"/>
          <w:numId w:val="1"/>
        </w:numPr>
        <w:spacing w:after="160" w:line="240" w:lineRule="auto"/>
        <w:rPr>
          <w:sz w:val="24"/>
          <w:szCs w:val="24"/>
          <w:lang w:eastAsia="fr-FR"/>
        </w:rPr>
      </w:pPr>
      <w:r w:rsidRPr="003D4574">
        <w:rPr>
          <w:b/>
          <w:bCs/>
          <w:sz w:val="24"/>
          <w:szCs w:val="24"/>
          <w:lang w:val="en-US" w:eastAsia="fr-FR"/>
        </w:rPr>
        <w:t>A1.1 BT Annual Report 2020</w:t>
      </w:r>
      <w:r w:rsidRPr="003D4574">
        <w:rPr>
          <w:sz w:val="24"/>
          <w:szCs w:val="24"/>
          <w:lang w:val="en-US" w:eastAsia="fr-FR"/>
        </w:rPr>
        <w:t xml:space="preserve"> – Safety and wellbeing metrics; early pandemic response (pp. 30–36). </w:t>
      </w:r>
      <w:r w:rsidRPr="003D4574">
        <w:rPr>
          <w:sz w:val="24"/>
          <w:szCs w:val="24"/>
          <w:lang w:eastAsia="fr-FR"/>
        </w:rPr>
        <w:t>Referenced in Chapter 4, RQ1 and RQ2.</w:t>
      </w:r>
    </w:p>
    <w:p w14:paraId="1A2181A0" w14:textId="77777777" w:rsidR="00F962E5" w:rsidRPr="003D4574" w:rsidRDefault="00F962E5" w:rsidP="00F962E5">
      <w:pPr>
        <w:numPr>
          <w:ilvl w:val="0"/>
          <w:numId w:val="1"/>
        </w:numPr>
        <w:spacing w:after="160" w:line="240" w:lineRule="auto"/>
        <w:rPr>
          <w:sz w:val="24"/>
          <w:szCs w:val="24"/>
          <w:lang w:eastAsia="fr-FR"/>
        </w:rPr>
      </w:pPr>
      <w:r w:rsidRPr="003D4574">
        <w:rPr>
          <w:b/>
          <w:bCs/>
          <w:sz w:val="24"/>
          <w:szCs w:val="24"/>
          <w:lang w:val="en-US" w:eastAsia="fr-FR"/>
        </w:rPr>
        <w:t>A1.2 BT Diversity &amp; Inclusion Report 2020/21</w:t>
      </w:r>
      <w:r w:rsidRPr="003D4574">
        <w:rPr>
          <w:sz w:val="24"/>
          <w:szCs w:val="24"/>
          <w:lang w:val="en-US" w:eastAsia="fr-FR"/>
        </w:rPr>
        <w:t xml:space="preserve"> – Launch of People Networks; reverse mentoring; ERAP/DRAP equity plans. </w:t>
      </w:r>
      <w:r w:rsidRPr="003D4574">
        <w:rPr>
          <w:sz w:val="24"/>
          <w:szCs w:val="24"/>
          <w:lang w:eastAsia="fr-FR"/>
        </w:rPr>
        <w:t>Referenced in Chapter 4, RQ1 and RQ3.</w:t>
      </w:r>
    </w:p>
    <w:p w14:paraId="12768968" w14:textId="77777777" w:rsidR="00F962E5" w:rsidRPr="003D4574" w:rsidRDefault="00F962E5" w:rsidP="00F962E5">
      <w:pPr>
        <w:numPr>
          <w:ilvl w:val="0"/>
          <w:numId w:val="1"/>
        </w:numPr>
        <w:spacing w:after="160" w:line="240" w:lineRule="auto"/>
        <w:rPr>
          <w:sz w:val="24"/>
          <w:szCs w:val="24"/>
          <w:lang w:eastAsia="fr-FR"/>
        </w:rPr>
      </w:pPr>
      <w:r w:rsidRPr="003D4574">
        <w:rPr>
          <w:b/>
          <w:bCs/>
          <w:sz w:val="24"/>
          <w:szCs w:val="24"/>
          <w:lang w:val="en-US" w:eastAsia="fr-FR"/>
        </w:rPr>
        <w:t>A1.3 BT Annual Report 2021</w:t>
      </w:r>
      <w:r w:rsidRPr="003D4574">
        <w:rPr>
          <w:sz w:val="24"/>
          <w:szCs w:val="24"/>
          <w:lang w:val="en-US" w:eastAsia="fr-FR"/>
        </w:rPr>
        <w:t xml:space="preserve"> – Progress toward £2bn savings target; wellbeing initiatives. </w:t>
      </w:r>
      <w:r w:rsidRPr="003D4574">
        <w:rPr>
          <w:sz w:val="24"/>
          <w:szCs w:val="24"/>
          <w:lang w:eastAsia="fr-FR"/>
        </w:rPr>
        <w:t>Referenced in Chapter 4, RQ1 and RQ4.</w:t>
      </w:r>
    </w:p>
    <w:p w14:paraId="688209AF" w14:textId="77777777" w:rsidR="00F962E5" w:rsidRPr="003D4574" w:rsidRDefault="00F962E5" w:rsidP="00F962E5">
      <w:pPr>
        <w:numPr>
          <w:ilvl w:val="0"/>
          <w:numId w:val="1"/>
        </w:numPr>
        <w:spacing w:after="160" w:line="240" w:lineRule="auto"/>
        <w:rPr>
          <w:sz w:val="24"/>
          <w:szCs w:val="24"/>
          <w:lang w:eastAsia="fr-FR"/>
        </w:rPr>
      </w:pPr>
      <w:r w:rsidRPr="003D4574">
        <w:rPr>
          <w:b/>
          <w:bCs/>
          <w:sz w:val="24"/>
          <w:szCs w:val="24"/>
          <w:lang w:val="en-US" w:eastAsia="fr-FR"/>
        </w:rPr>
        <w:t>A1.4 BT Annual Report 2022</w:t>
      </w:r>
      <w:r w:rsidRPr="003D4574">
        <w:rPr>
          <w:sz w:val="24"/>
          <w:szCs w:val="24"/>
          <w:lang w:val="en-US" w:eastAsia="fr-FR"/>
        </w:rPr>
        <w:t xml:space="preserve"> – Smart Working Playbook; digital etiquette modules; bias removal training (pp. 20, 36, 42, 63). </w:t>
      </w:r>
      <w:r w:rsidRPr="003D4574">
        <w:rPr>
          <w:sz w:val="24"/>
          <w:szCs w:val="24"/>
          <w:lang w:eastAsia="fr-FR"/>
        </w:rPr>
        <w:t>Referenced in Chapter 4, RQ1 and RQ3.</w:t>
      </w:r>
    </w:p>
    <w:p w14:paraId="5FBA7389" w14:textId="77777777" w:rsidR="00F962E5" w:rsidRPr="003D4574" w:rsidRDefault="00F962E5" w:rsidP="00F962E5">
      <w:pPr>
        <w:numPr>
          <w:ilvl w:val="0"/>
          <w:numId w:val="1"/>
        </w:numPr>
        <w:spacing w:after="160" w:line="240" w:lineRule="auto"/>
        <w:rPr>
          <w:sz w:val="24"/>
          <w:szCs w:val="24"/>
          <w:lang w:eastAsia="fr-FR"/>
        </w:rPr>
      </w:pPr>
      <w:r w:rsidRPr="003D4574">
        <w:rPr>
          <w:b/>
          <w:bCs/>
          <w:sz w:val="24"/>
          <w:szCs w:val="24"/>
          <w:lang w:val="en-US" w:eastAsia="fr-FR"/>
        </w:rPr>
        <w:t>A1.5 BT Annual Report 2023</w:t>
      </w:r>
      <w:r w:rsidRPr="003D4574">
        <w:rPr>
          <w:sz w:val="24"/>
          <w:szCs w:val="24"/>
          <w:lang w:val="en-US" w:eastAsia="fr-FR"/>
        </w:rPr>
        <w:t xml:space="preserve"> – Industrial action context; ISO 45003 alignment; inclusion index in bonuses (pp. 32–41). </w:t>
      </w:r>
      <w:r w:rsidRPr="003D4574">
        <w:rPr>
          <w:sz w:val="24"/>
          <w:szCs w:val="24"/>
          <w:lang w:eastAsia="fr-FR"/>
        </w:rPr>
        <w:t>Referenced in Chapter 4, RQ2 and RQ4.</w:t>
      </w:r>
    </w:p>
    <w:p w14:paraId="0EEF3D5E" w14:textId="77777777" w:rsidR="00F962E5" w:rsidRPr="003D4574" w:rsidRDefault="00F962E5" w:rsidP="00F962E5">
      <w:pPr>
        <w:numPr>
          <w:ilvl w:val="0"/>
          <w:numId w:val="1"/>
        </w:numPr>
        <w:spacing w:after="160" w:line="240" w:lineRule="auto"/>
        <w:rPr>
          <w:sz w:val="24"/>
          <w:szCs w:val="24"/>
          <w:lang w:eastAsia="fr-FR"/>
        </w:rPr>
      </w:pPr>
      <w:r w:rsidRPr="003D4574">
        <w:rPr>
          <w:b/>
          <w:bCs/>
          <w:sz w:val="24"/>
          <w:szCs w:val="24"/>
          <w:lang w:val="en-US" w:eastAsia="fr-FR"/>
        </w:rPr>
        <w:t>A1.6 BT Annual Report 2024</w:t>
      </w:r>
      <w:r w:rsidRPr="003D4574">
        <w:rPr>
          <w:sz w:val="24"/>
          <w:szCs w:val="24"/>
          <w:lang w:val="en-US" w:eastAsia="fr-FR"/>
        </w:rPr>
        <w:t xml:space="preserve"> – Better Workplace Programme; senior leadership belonging program; “Speak Up” campaign (pp. 22, 30–37). </w:t>
      </w:r>
      <w:r w:rsidRPr="003D4574">
        <w:rPr>
          <w:sz w:val="24"/>
          <w:szCs w:val="24"/>
          <w:lang w:eastAsia="fr-FR"/>
        </w:rPr>
        <w:t>Referenced in Chapter 4, RQ3.</w:t>
      </w:r>
    </w:p>
    <w:p w14:paraId="0B11F686" w14:textId="77777777" w:rsidR="00F962E5" w:rsidRPr="003D4574" w:rsidRDefault="00F962E5" w:rsidP="00F962E5">
      <w:pPr>
        <w:numPr>
          <w:ilvl w:val="0"/>
          <w:numId w:val="1"/>
        </w:numPr>
        <w:spacing w:after="160" w:line="240" w:lineRule="auto"/>
        <w:rPr>
          <w:sz w:val="24"/>
          <w:szCs w:val="24"/>
          <w:lang w:eastAsia="fr-FR"/>
        </w:rPr>
      </w:pPr>
      <w:r w:rsidRPr="003D4574">
        <w:rPr>
          <w:b/>
          <w:bCs/>
          <w:sz w:val="24"/>
          <w:szCs w:val="24"/>
          <w:lang w:val="en-US" w:eastAsia="fr-FR"/>
        </w:rPr>
        <w:t>A1.7 BT Annual Report 2025</w:t>
      </w:r>
      <w:r w:rsidRPr="003D4574">
        <w:rPr>
          <w:sz w:val="24"/>
          <w:szCs w:val="24"/>
          <w:lang w:val="en-US" w:eastAsia="fr-FR"/>
        </w:rPr>
        <w:t xml:space="preserve"> – “Three together, two wherever” mandate; inclusive leadership program completion; empowerment scores (pp. 16–24). </w:t>
      </w:r>
      <w:r w:rsidRPr="003D4574">
        <w:rPr>
          <w:sz w:val="24"/>
          <w:szCs w:val="24"/>
          <w:lang w:eastAsia="fr-FR"/>
        </w:rPr>
        <w:t>Referenced in Chapter 4, RQ1, RQ2, RQ3, and RQ4.</w:t>
      </w:r>
    </w:p>
    <w:p w14:paraId="4B2B2F12" w14:textId="77777777" w:rsidR="00F962E5" w:rsidRDefault="00F962E5" w:rsidP="00F962E5">
      <w:pPr>
        <w:spacing w:line="240" w:lineRule="auto"/>
        <w:rPr>
          <w:sz w:val="24"/>
          <w:szCs w:val="24"/>
          <w:lang w:eastAsia="fr-FR"/>
        </w:rPr>
      </w:pPr>
    </w:p>
    <w:p w14:paraId="52B9AED0" w14:textId="77777777" w:rsidR="00F962E5" w:rsidRPr="003D4574" w:rsidRDefault="00F962E5" w:rsidP="00F962E5">
      <w:pPr>
        <w:spacing w:line="240" w:lineRule="auto"/>
        <w:rPr>
          <w:sz w:val="24"/>
          <w:szCs w:val="24"/>
          <w:lang w:eastAsia="fr-FR"/>
        </w:rPr>
      </w:pPr>
    </w:p>
    <w:p w14:paraId="38744345" w14:textId="77777777" w:rsidR="00F962E5" w:rsidRDefault="00F962E5" w:rsidP="00F962E5">
      <w:pPr>
        <w:spacing w:line="240" w:lineRule="auto"/>
        <w:rPr>
          <w:b/>
          <w:bCs/>
          <w:sz w:val="24"/>
          <w:szCs w:val="24"/>
          <w:lang w:val="en-US" w:eastAsia="fr-FR"/>
        </w:rPr>
      </w:pPr>
      <w:r w:rsidRPr="003D4574">
        <w:rPr>
          <w:b/>
          <w:bCs/>
          <w:sz w:val="24"/>
          <w:szCs w:val="24"/>
          <w:lang w:val="en-US" w:eastAsia="fr-FR"/>
        </w:rPr>
        <w:t>A2. Employee Narratives and External Platforms</w:t>
      </w:r>
    </w:p>
    <w:p w14:paraId="5F458282" w14:textId="77777777" w:rsidR="00F962E5" w:rsidRPr="003D4574" w:rsidRDefault="00F962E5" w:rsidP="00F962E5">
      <w:pPr>
        <w:spacing w:line="240" w:lineRule="auto"/>
        <w:rPr>
          <w:b/>
          <w:bCs/>
          <w:sz w:val="24"/>
          <w:szCs w:val="24"/>
          <w:lang w:val="en-US" w:eastAsia="fr-FR"/>
        </w:rPr>
      </w:pPr>
    </w:p>
    <w:p w14:paraId="08ACAA45" w14:textId="77777777" w:rsidR="00F962E5" w:rsidRPr="003D4574" w:rsidRDefault="00F962E5" w:rsidP="00F962E5">
      <w:pPr>
        <w:numPr>
          <w:ilvl w:val="0"/>
          <w:numId w:val="2"/>
        </w:numPr>
        <w:spacing w:after="160" w:line="240" w:lineRule="auto"/>
        <w:rPr>
          <w:sz w:val="24"/>
          <w:szCs w:val="24"/>
          <w:lang w:eastAsia="fr-FR"/>
        </w:rPr>
      </w:pPr>
      <w:r w:rsidRPr="003D4574">
        <w:rPr>
          <w:b/>
          <w:bCs/>
          <w:sz w:val="24"/>
          <w:szCs w:val="24"/>
          <w:lang w:val="en-US" w:eastAsia="fr-FR"/>
        </w:rPr>
        <w:t>A2.1 Glassdoor Reviews (2023–2025)</w:t>
      </w:r>
      <w:r w:rsidRPr="003D4574">
        <w:rPr>
          <w:sz w:val="24"/>
          <w:szCs w:val="24"/>
          <w:lang w:val="en-US" w:eastAsia="fr-FR"/>
        </w:rPr>
        <w:t xml:space="preserve"> – Employee perceptions of hybrid mandates; trust erosion; proximity bias. </w:t>
      </w:r>
      <w:r w:rsidRPr="003D4574">
        <w:rPr>
          <w:sz w:val="24"/>
          <w:szCs w:val="24"/>
          <w:lang w:eastAsia="fr-FR"/>
        </w:rPr>
        <w:t>Referenced in Chapter 4, RQ2 and RQ4.</w:t>
      </w:r>
    </w:p>
    <w:p w14:paraId="630CC1E7" w14:textId="77777777" w:rsidR="00F962E5" w:rsidRPr="003D4574" w:rsidRDefault="00F962E5" w:rsidP="00F962E5">
      <w:pPr>
        <w:numPr>
          <w:ilvl w:val="0"/>
          <w:numId w:val="2"/>
        </w:numPr>
        <w:spacing w:after="160" w:line="240" w:lineRule="auto"/>
        <w:rPr>
          <w:sz w:val="24"/>
          <w:szCs w:val="24"/>
          <w:lang w:eastAsia="fr-FR"/>
        </w:rPr>
      </w:pPr>
      <w:r w:rsidRPr="003D4574">
        <w:rPr>
          <w:b/>
          <w:bCs/>
          <w:sz w:val="24"/>
          <w:szCs w:val="24"/>
          <w:lang w:val="en-US" w:eastAsia="fr-FR"/>
        </w:rPr>
        <w:t>A2.2 LinkedIn Posts (2022–2025)</w:t>
      </w:r>
      <w:r w:rsidRPr="003D4574">
        <w:rPr>
          <w:sz w:val="24"/>
          <w:szCs w:val="24"/>
          <w:lang w:val="en-US" w:eastAsia="fr-FR"/>
        </w:rPr>
        <w:t xml:space="preserve"> – Testimonials praising increased interaction (“finally feel part of a team again”) and critiques of visibility anxiety. </w:t>
      </w:r>
      <w:r w:rsidRPr="003D4574">
        <w:rPr>
          <w:sz w:val="24"/>
          <w:szCs w:val="24"/>
          <w:lang w:eastAsia="fr-FR"/>
        </w:rPr>
        <w:t>Referenced in Chapter 4, RQ2.</w:t>
      </w:r>
    </w:p>
    <w:p w14:paraId="7B779487" w14:textId="77777777" w:rsidR="00F962E5" w:rsidRPr="003D4574" w:rsidRDefault="00F962E5" w:rsidP="00F962E5">
      <w:pPr>
        <w:numPr>
          <w:ilvl w:val="0"/>
          <w:numId w:val="2"/>
        </w:numPr>
        <w:spacing w:after="160" w:line="240" w:lineRule="auto"/>
        <w:rPr>
          <w:sz w:val="24"/>
          <w:szCs w:val="24"/>
          <w:lang w:eastAsia="fr-FR"/>
        </w:rPr>
      </w:pPr>
      <w:r w:rsidRPr="003D4574">
        <w:rPr>
          <w:b/>
          <w:bCs/>
          <w:sz w:val="24"/>
          <w:szCs w:val="24"/>
          <w:lang w:val="en-US" w:eastAsia="fr-FR"/>
        </w:rPr>
        <w:t>A2.3 Reddit Threads (2025)</w:t>
      </w:r>
      <w:r w:rsidRPr="003D4574">
        <w:rPr>
          <w:sz w:val="24"/>
          <w:szCs w:val="24"/>
          <w:lang w:val="en-US" w:eastAsia="fr-FR"/>
        </w:rPr>
        <w:t xml:space="preserve"> – Regional perspectives, particularly India hubs embracing collectivist hybrid culture. </w:t>
      </w:r>
      <w:r w:rsidRPr="003D4574">
        <w:rPr>
          <w:sz w:val="24"/>
          <w:szCs w:val="24"/>
          <w:lang w:eastAsia="fr-FR"/>
        </w:rPr>
        <w:t>Referenced in Chapter 4, RQ2 and RQ3.</w:t>
      </w:r>
    </w:p>
    <w:p w14:paraId="358A088A" w14:textId="77777777" w:rsidR="00F962E5" w:rsidRPr="003D4574" w:rsidRDefault="00F962E5" w:rsidP="00F962E5">
      <w:pPr>
        <w:numPr>
          <w:ilvl w:val="0"/>
          <w:numId w:val="2"/>
        </w:numPr>
        <w:spacing w:after="160" w:line="240" w:lineRule="auto"/>
        <w:rPr>
          <w:sz w:val="24"/>
          <w:szCs w:val="24"/>
          <w:lang w:eastAsia="fr-FR"/>
        </w:rPr>
      </w:pPr>
      <w:r w:rsidRPr="003D4574">
        <w:rPr>
          <w:b/>
          <w:bCs/>
          <w:sz w:val="24"/>
          <w:szCs w:val="24"/>
          <w:lang w:val="en-US" w:eastAsia="fr-FR"/>
        </w:rPr>
        <w:t>A2.4 Exit Interviews (2025, internal HR summaries)</w:t>
      </w:r>
      <w:r w:rsidRPr="003D4574">
        <w:rPr>
          <w:sz w:val="24"/>
          <w:szCs w:val="24"/>
          <w:lang w:val="en-US" w:eastAsia="fr-FR"/>
        </w:rPr>
        <w:t xml:space="preserve"> – Voluntary turnover spikes; “disaster for retention” narratives. </w:t>
      </w:r>
      <w:r w:rsidRPr="003D4574">
        <w:rPr>
          <w:sz w:val="24"/>
          <w:szCs w:val="24"/>
          <w:lang w:eastAsia="fr-FR"/>
        </w:rPr>
        <w:t>Referenced in Chapter 4, RQ4.</w:t>
      </w:r>
    </w:p>
    <w:p w14:paraId="0444AC18" w14:textId="77777777" w:rsidR="00F962E5" w:rsidRDefault="00F962E5" w:rsidP="00F962E5">
      <w:pPr>
        <w:spacing w:line="240" w:lineRule="auto"/>
        <w:rPr>
          <w:b/>
          <w:bCs/>
          <w:sz w:val="24"/>
          <w:szCs w:val="24"/>
          <w:lang w:val="en-US" w:eastAsia="fr-FR"/>
        </w:rPr>
      </w:pPr>
      <w:r w:rsidRPr="003D4574">
        <w:rPr>
          <w:b/>
          <w:bCs/>
          <w:sz w:val="24"/>
          <w:szCs w:val="24"/>
          <w:lang w:val="en-US" w:eastAsia="fr-FR"/>
        </w:rPr>
        <w:lastRenderedPageBreak/>
        <w:t>A3. Tables (Section 4)</w:t>
      </w:r>
    </w:p>
    <w:p w14:paraId="598AC618" w14:textId="77777777" w:rsidR="00F962E5" w:rsidRPr="003D4574" w:rsidRDefault="00F962E5" w:rsidP="00F962E5">
      <w:pPr>
        <w:spacing w:line="240" w:lineRule="auto"/>
        <w:rPr>
          <w:b/>
          <w:bCs/>
          <w:sz w:val="24"/>
          <w:szCs w:val="24"/>
          <w:lang w:val="en-US" w:eastAsia="fr-FR"/>
        </w:rPr>
      </w:pPr>
    </w:p>
    <w:p w14:paraId="3BDE7B75" w14:textId="77777777" w:rsidR="00F962E5" w:rsidRPr="003D4574" w:rsidRDefault="00F962E5" w:rsidP="00F962E5">
      <w:pPr>
        <w:spacing w:line="240" w:lineRule="auto"/>
        <w:rPr>
          <w:b/>
          <w:bCs/>
          <w:sz w:val="24"/>
          <w:szCs w:val="24"/>
          <w:lang w:val="en-GB" w:eastAsia="fr-FR"/>
        </w:rPr>
      </w:pPr>
      <w:r w:rsidRPr="003D4574">
        <w:rPr>
          <w:b/>
          <w:bCs/>
          <w:sz w:val="24"/>
          <w:szCs w:val="24"/>
          <w:lang w:val="en-GB" w:eastAsia="fr-FR"/>
        </w:rPr>
        <w:t>Comparison of BT Group Trends: 2020–2025</w:t>
      </w:r>
    </w:p>
    <w:p w14:paraId="61331131" w14:textId="77777777" w:rsidR="00F962E5" w:rsidRPr="003D4574" w:rsidRDefault="00F962E5" w:rsidP="00F962E5">
      <w:pPr>
        <w:spacing w:line="240" w:lineRule="auto"/>
        <w:rPr>
          <w:b/>
          <w:bCs/>
          <w:sz w:val="24"/>
          <w:szCs w:val="24"/>
          <w:lang w:val="en-GB"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9"/>
        <w:gridCol w:w="1006"/>
        <w:gridCol w:w="7715"/>
      </w:tblGrid>
      <w:tr w:rsidR="00F962E5" w:rsidRPr="003D4574" w14:paraId="10C110AD" w14:textId="77777777" w:rsidTr="008A293E">
        <w:trPr>
          <w:tblHeader/>
          <w:tblCellSpacing w:w="15" w:type="dxa"/>
        </w:trPr>
        <w:tc>
          <w:tcPr>
            <w:tcW w:w="0" w:type="auto"/>
            <w:tcBorders>
              <w:top w:val="single" w:sz="4" w:space="0" w:color="auto"/>
              <w:left w:val="single" w:sz="4" w:space="0" w:color="auto"/>
              <w:right w:val="single" w:sz="4" w:space="0" w:color="auto"/>
            </w:tcBorders>
            <w:vAlign w:val="center"/>
            <w:hideMark/>
          </w:tcPr>
          <w:p w14:paraId="7F276EE5" w14:textId="77777777" w:rsidR="00F962E5" w:rsidRPr="003D4574" w:rsidRDefault="00F962E5" w:rsidP="008A293E">
            <w:pPr>
              <w:spacing w:line="240" w:lineRule="auto"/>
              <w:rPr>
                <w:sz w:val="24"/>
                <w:szCs w:val="24"/>
                <w:lang w:eastAsia="fr-FR"/>
              </w:rPr>
            </w:pPr>
            <w:r w:rsidRPr="003D4574">
              <w:rPr>
                <w:sz w:val="24"/>
                <w:szCs w:val="24"/>
                <w:lang w:eastAsia="fr-FR"/>
              </w:rPr>
              <w:t>Year</w:t>
            </w:r>
          </w:p>
        </w:tc>
        <w:tc>
          <w:tcPr>
            <w:tcW w:w="0" w:type="auto"/>
            <w:tcBorders>
              <w:top w:val="single" w:sz="4" w:space="0" w:color="auto"/>
              <w:right w:val="single" w:sz="4" w:space="0" w:color="auto"/>
            </w:tcBorders>
            <w:vAlign w:val="center"/>
            <w:hideMark/>
          </w:tcPr>
          <w:p w14:paraId="26D64F30" w14:textId="77777777" w:rsidR="00F962E5" w:rsidRPr="003D4574" w:rsidRDefault="00F962E5" w:rsidP="008A293E">
            <w:pPr>
              <w:spacing w:line="240" w:lineRule="auto"/>
              <w:rPr>
                <w:sz w:val="24"/>
                <w:szCs w:val="24"/>
                <w:lang w:eastAsia="fr-FR"/>
              </w:rPr>
            </w:pPr>
            <w:r w:rsidRPr="003D4574">
              <w:rPr>
                <w:sz w:val="24"/>
                <w:szCs w:val="24"/>
                <w:lang w:eastAsia="fr-FR"/>
              </w:rPr>
              <w:t>Score (%)</w:t>
            </w:r>
          </w:p>
        </w:tc>
        <w:tc>
          <w:tcPr>
            <w:tcW w:w="0" w:type="auto"/>
            <w:tcBorders>
              <w:top w:val="single" w:sz="4" w:space="0" w:color="auto"/>
              <w:right w:val="single" w:sz="4" w:space="0" w:color="auto"/>
            </w:tcBorders>
            <w:vAlign w:val="center"/>
            <w:hideMark/>
          </w:tcPr>
          <w:p w14:paraId="06A8B1FE" w14:textId="77777777" w:rsidR="00F962E5" w:rsidRPr="003D4574" w:rsidRDefault="00F962E5" w:rsidP="008A293E">
            <w:pPr>
              <w:spacing w:line="240" w:lineRule="auto"/>
              <w:rPr>
                <w:sz w:val="24"/>
                <w:szCs w:val="24"/>
                <w:lang w:eastAsia="fr-FR"/>
              </w:rPr>
            </w:pPr>
            <w:r w:rsidRPr="003D4574">
              <w:rPr>
                <w:sz w:val="24"/>
                <w:szCs w:val="24"/>
                <w:lang w:eastAsia="fr-FR"/>
              </w:rPr>
              <w:t>Key Notes</w:t>
            </w:r>
          </w:p>
        </w:tc>
      </w:tr>
      <w:tr w:rsidR="00F962E5" w:rsidRPr="003D4574" w14:paraId="6D0F6414" w14:textId="77777777" w:rsidTr="008A293E">
        <w:trPr>
          <w:tblCellSpacing w:w="15" w:type="dxa"/>
        </w:trPr>
        <w:tc>
          <w:tcPr>
            <w:tcW w:w="0" w:type="auto"/>
            <w:tcBorders>
              <w:top w:val="single" w:sz="4" w:space="0" w:color="auto"/>
              <w:left w:val="single" w:sz="4" w:space="0" w:color="auto"/>
              <w:right w:val="single" w:sz="4" w:space="0" w:color="auto"/>
            </w:tcBorders>
            <w:vAlign w:val="center"/>
            <w:hideMark/>
          </w:tcPr>
          <w:p w14:paraId="59A9878D" w14:textId="77777777" w:rsidR="00F962E5" w:rsidRPr="003D4574" w:rsidRDefault="00F962E5" w:rsidP="008A293E">
            <w:pPr>
              <w:spacing w:line="240" w:lineRule="auto"/>
              <w:rPr>
                <w:sz w:val="24"/>
                <w:szCs w:val="24"/>
                <w:lang w:eastAsia="fr-FR"/>
              </w:rPr>
            </w:pPr>
            <w:r w:rsidRPr="003D4574">
              <w:rPr>
                <w:sz w:val="24"/>
                <w:szCs w:val="24"/>
                <w:lang w:eastAsia="fr-FR"/>
              </w:rPr>
              <w:t>2020</w:t>
            </w:r>
          </w:p>
        </w:tc>
        <w:tc>
          <w:tcPr>
            <w:tcW w:w="0" w:type="auto"/>
            <w:tcBorders>
              <w:top w:val="single" w:sz="4" w:space="0" w:color="auto"/>
              <w:right w:val="single" w:sz="4" w:space="0" w:color="auto"/>
            </w:tcBorders>
            <w:vAlign w:val="center"/>
            <w:hideMark/>
          </w:tcPr>
          <w:p w14:paraId="57C209BB" w14:textId="77777777" w:rsidR="00F962E5" w:rsidRPr="003D4574" w:rsidRDefault="00F962E5" w:rsidP="008A293E">
            <w:pPr>
              <w:spacing w:line="240" w:lineRule="auto"/>
              <w:rPr>
                <w:sz w:val="24"/>
                <w:szCs w:val="24"/>
                <w:lang w:eastAsia="fr-FR"/>
              </w:rPr>
            </w:pPr>
            <w:r w:rsidRPr="003D4574">
              <w:rPr>
                <w:sz w:val="24"/>
                <w:szCs w:val="24"/>
                <w:lang w:eastAsia="fr-FR"/>
              </w:rPr>
              <w:t>77</w:t>
            </w:r>
          </w:p>
        </w:tc>
        <w:tc>
          <w:tcPr>
            <w:tcW w:w="0" w:type="auto"/>
            <w:tcBorders>
              <w:top w:val="single" w:sz="4" w:space="0" w:color="auto"/>
              <w:right w:val="single" w:sz="4" w:space="0" w:color="auto"/>
            </w:tcBorders>
            <w:vAlign w:val="center"/>
            <w:hideMark/>
          </w:tcPr>
          <w:p w14:paraId="49FC3F26" w14:textId="77777777" w:rsidR="00F962E5" w:rsidRPr="003D4574" w:rsidRDefault="00F962E5" w:rsidP="008A293E">
            <w:pPr>
              <w:spacing w:line="240" w:lineRule="auto"/>
              <w:rPr>
                <w:sz w:val="24"/>
                <w:szCs w:val="24"/>
                <w:lang w:val="en-US" w:eastAsia="fr-FR"/>
              </w:rPr>
            </w:pPr>
            <w:r w:rsidRPr="003D4574">
              <w:rPr>
                <w:sz w:val="24"/>
                <w:szCs w:val="24"/>
                <w:lang w:val="en-US" w:eastAsia="fr-FR"/>
              </w:rPr>
              <w:t>Strong amid early pandemic response; 87% positive on safety (Annual Report 2020, p.36 est.).</w:t>
            </w:r>
          </w:p>
        </w:tc>
      </w:tr>
      <w:tr w:rsidR="00F962E5" w:rsidRPr="003D4574" w14:paraId="4641E845" w14:textId="77777777" w:rsidTr="008A293E">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027F33DA" w14:textId="77777777" w:rsidR="00F962E5" w:rsidRPr="003D4574" w:rsidRDefault="00F962E5" w:rsidP="008A293E">
            <w:pPr>
              <w:spacing w:line="240" w:lineRule="auto"/>
              <w:rPr>
                <w:sz w:val="24"/>
                <w:szCs w:val="24"/>
                <w:lang w:eastAsia="fr-FR"/>
              </w:rPr>
            </w:pPr>
            <w:r w:rsidRPr="003D4574">
              <w:rPr>
                <w:sz w:val="24"/>
                <w:szCs w:val="24"/>
                <w:lang w:eastAsia="fr-FR"/>
              </w:rPr>
              <w:t>2021</w:t>
            </w:r>
          </w:p>
        </w:tc>
        <w:tc>
          <w:tcPr>
            <w:tcW w:w="0" w:type="auto"/>
            <w:tcBorders>
              <w:top w:val="single" w:sz="4" w:space="0" w:color="auto"/>
              <w:bottom w:val="single" w:sz="4" w:space="0" w:color="auto"/>
              <w:right w:val="single" w:sz="4" w:space="0" w:color="auto"/>
            </w:tcBorders>
            <w:vAlign w:val="center"/>
            <w:hideMark/>
          </w:tcPr>
          <w:p w14:paraId="64F4EAEA" w14:textId="77777777" w:rsidR="00F962E5" w:rsidRPr="003D4574" w:rsidRDefault="00F962E5" w:rsidP="008A293E">
            <w:pPr>
              <w:spacing w:line="240" w:lineRule="auto"/>
              <w:rPr>
                <w:sz w:val="24"/>
                <w:szCs w:val="24"/>
                <w:lang w:eastAsia="fr-FR"/>
              </w:rPr>
            </w:pPr>
            <w:r w:rsidRPr="003D4574">
              <w:rPr>
                <w:sz w:val="24"/>
                <w:szCs w:val="24"/>
                <w:lang w:eastAsia="fr-FR"/>
              </w:rPr>
              <w:t>78</w:t>
            </w:r>
          </w:p>
        </w:tc>
        <w:tc>
          <w:tcPr>
            <w:tcW w:w="0" w:type="auto"/>
            <w:tcBorders>
              <w:top w:val="single" w:sz="4" w:space="0" w:color="auto"/>
              <w:bottom w:val="single" w:sz="4" w:space="0" w:color="auto"/>
              <w:right w:val="single" w:sz="4" w:space="0" w:color="auto"/>
            </w:tcBorders>
            <w:vAlign w:val="center"/>
            <w:hideMark/>
          </w:tcPr>
          <w:p w14:paraId="22E5001C" w14:textId="77777777" w:rsidR="00F962E5" w:rsidRPr="003D4574" w:rsidRDefault="00F962E5" w:rsidP="008A293E">
            <w:pPr>
              <w:spacing w:line="240" w:lineRule="auto"/>
              <w:rPr>
                <w:sz w:val="24"/>
                <w:szCs w:val="24"/>
                <w:lang w:val="en-US" w:eastAsia="fr-FR"/>
              </w:rPr>
            </w:pPr>
            <w:r w:rsidRPr="003D4574">
              <w:rPr>
                <w:sz w:val="24"/>
                <w:szCs w:val="24"/>
                <w:lang w:val="en-US" w:eastAsia="fr-FR"/>
              </w:rPr>
              <w:t>Continued upward; focus on remote wellbeing (interpolated from trend/D&amp;I Report 2020/21).</w:t>
            </w:r>
          </w:p>
        </w:tc>
      </w:tr>
      <w:tr w:rsidR="00F962E5" w:rsidRPr="003D4574" w14:paraId="7F440722" w14:textId="77777777" w:rsidTr="008A293E">
        <w:trPr>
          <w:tblCellSpacing w:w="15" w:type="dxa"/>
        </w:trPr>
        <w:tc>
          <w:tcPr>
            <w:tcW w:w="0" w:type="auto"/>
            <w:tcBorders>
              <w:left w:val="single" w:sz="4" w:space="0" w:color="auto"/>
              <w:right w:val="single" w:sz="4" w:space="0" w:color="auto"/>
            </w:tcBorders>
            <w:vAlign w:val="center"/>
            <w:hideMark/>
          </w:tcPr>
          <w:p w14:paraId="69787E73" w14:textId="77777777" w:rsidR="00F962E5" w:rsidRPr="003D4574" w:rsidRDefault="00F962E5" w:rsidP="008A293E">
            <w:pPr>
              <w:spacing w:line="240" w:lineRule="auto"/>
              <w:rPr>
                <w:sz w:val="24"/>
                <w:szCs w:val="24"/>
                <w:lang w:eastAsia="fr-FR"/>
              </w:rPr>
            </w:pPr>
            <w:r w:rsidRPr="003D4574">
              <w:rPr>
                <w:sz w:val="24"/>
                <w:szCs w:val="24"/>
                <w:lang w:eastAsia="fr-FR"/>
              </w:rPr>
              <w:t>2022</w:t>
            </w:r>
          </w:p>
        </w:tc>
        <w:tc>
          <w:tcPr>
            <w:tcW w:w="0" w:type="auto"/>
            <w:tcBorders>
              <w:right w:val="single" w:sz="4" w:space="0" w:color="auto"/>
            </w:tcBorders>
            <w:vAlign w:val="center"/>
            <w:hideMark/>
          </w:tcPr>
          <w:p w14:paraId="4E97E462" w14:textId="77777777" w:rsidR="00F962E5" w:rsidRPr="003D4574" w:rsidRDefault="00F962E5" w:rsidP="008A293E">
            <w:pPr>
              <w:spacing w:line="240" w:lineRule="auto"/>
              <w:rPr>
                <w:sz w:val="24"/>
                <w:szCs w:val="24"/>
                <w:lang w:eastAsia="fr-FR"/>
              </w:rPr>
            </w:pPr>
            <w:r w:rsidRPr="003D4574">
              <w:rPr>
                <w:sz w:val="24"/>
                <w:szCs w:val="24"/>
                <w:lang w:eastAsia="fr-FR"/>
              </w:rPr>
              <w:t>79</w:t>
            </w:r>
          </w:p>
        </w:tc>
        <w:tc>
          <w:tcPr>
            <w:tcW w:w="0" w:type="auto"/>
            <w:tcBorders>
              <w:right w:val="single" w:sz="4" w:space="0" w:color="auto"/>
            </w:tcBorders>
            <w:vAlign w:val="center"/>
            <w:hideMark/>
          </w:tcPr>
          <w:p w14:paraId="34215EF1" w14:textId="77777777" w:rsidR="00F962E5" w:rsidRPr="003D4574" w:rsidRDefault="00F962E5" w:rsidP="008A293E">
            <w:pPr>
              <w:spacing w:line="240" w:lineRule="auto"/>
              <w:rPr>
                <w:sz w:val="24"/>
                <w:szCs w:val="24"/>
                <w:lang w:val="en-US" w:eastAsia="fr-FR"/>
              </w:rPr>
            </w:pPr>
            <w:r w:rsidRPr="003D4574">
              <w:rPr>
                <w:sz w:val="24"/>
                <w:szCs w:val="24"/>
                <w:lang w:val="en-US" w:eastAsia="fr-FR"/>
              </w:rPr>
              <w:t>Peak; 81% participation, hybrid transition feedback positive (Annual Report 2022, p.36).</w:t>
            </w:r>
          </w:p>
        </w:tc>
      </w:tr>
      <w:tr w:rsidR="00F962E5" w:rsidRPr="003D4574" w14:paraId="6AF2F695" w14:textId="77777777" w:rsidTr="008A293E">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FD29D68" w14:textId="77777777" w:rsidR="00F962E5" w:rsidRPr="003D4574" w:rsidRDefault="00F962E5" w:rsidP="008A293E">
            <w:pPr>
              <w:spacing w:line="240" w:lineRule="auto"/>
              <w:rPr>
                <w:sz w:val="24"/>
                <w:szCs w:val="24"/>
                <w:lang w:eastAsia="fr-FR"/>
              </w:rPr>
            </w:pPr>
            <w:r w:rsidRPr="003D4574">
              <w:rPr>
                <w:sz w:val="24"/>
                <w:szCs w:val="24"/>
                <w:lang w:eastAsia="fr-FR"/>
              </w:rPr>
              <w:t>2023</w:t>
            </w:r>
          </w:p>
        </w:tc>
        <w:tc>
          <w:tcPr>
            <w:tcW w:w="0" w:type="auto"/>
            <w:tcBorders>
              <w:top w:val="single" w:sz="4" w:space="0" w:color="auto"/>
              <w:bottom w:val="single" w:sz="4" w:space="0" w:color="auto"/>
              <w:right w:val="single" w:sz="4" w:space="0" w:color="auto"/>
            </w:tcBorders>
            <w:vAlign w:val="center"/>
            <w:hideMark/>
          </w:tcPr>
          <w:p w14:paraId="7DED9AEF" w14:textId="77777777" w:rsidR="00F962E5" w:rsidRPr="003D4574" w:rsidRDefault="00F962E5" w:rsidP="008A293E">
            <w:pPr>
              <w:spacing w:line="240" w:lineRule="auto"/>
              <w:rPr>
                <w:sz w:val="24"/>
                <w:szCs w:val="24"/>
                <w:lang w:eastAsia="fr-FR"/>
              </w:rPr>
            </w:pPr>
            <w:r w:rsidRPr="003D4574">
              <w:rPr>
                <w:sz w:val="24"/>
                <w:szCs w:val="24"/>
                <w:lang w:eastAsia="fr-FR"/>
              </w:rPr>
              <w:t>73</w:t>
            </w:r>
          </w:p>
        </w:tc>
        <w:tc>
          <w:tcPr>
            <w:tcW w:w="0" w:type="auto"/>
            <w:tcBorders>
              <w:top w:val="single" w:sz="4" w:space="0" w:color="auto"/>
              <w:bottom w:val="single" w:sz="4" w:space="0" w:color="auto"/>
              <w:right w:val="single" w:sz="4" w:space="0" w:color="auto"/>
            </w:tcBorders>
            <w:vAlign w:val="center"/>
            <w:hideMark/>
          </w:tcPr>
          <w:p w14:paraId="1F5DC248" w14:textId="77777777" w:rsidR="00F962E5" w:rsidRPr="003D4574" w:rsidRDefault="00F962E5" w:rsidP="008A293E">
            <w:pPr>
              <w:spacing w:line="240" w:lineRule="auto"/>
              <w:rPr>
                <w:sz w:val="24"/>
                <w:szCs w:val="24"/>
                <w:lang w:val="en-US" w:eastAsia="fr-FR"/>
              </w:rPr>
            </w:pPr>
            <w:r w:rsidRPr="003D4574">
              <w:rPr>
                <w:sz w:val="24"/>
                <w:szCs w:val="24"/>
                <w:lang w:val="en-US" w:eastAsia="fr-FR"/>
              </w:rPr>
              <w:t>-6 pt drop YoY (industrial action, cost crisis); still above benchmarks (Annual Report 2023, p.41).</w:t>
            </w:r>
          </w:p>
        </w:tc>
      </w:tr>
      <w:tr w:rsidR="00F962E5" w:rsidRPr="003D4574" w14:paraId="4AC6E0CA" w14:textId="77777777" w:rsidTr="008A293E">
        <w:trPr>
          <w:tblCellSpacing w:w="15" w:type="dxa"/>
        </w:trPr>
        <w:tc>
          <w:tcPr>
            <w:tcW w:w="0" w:type="auto"/>
            <w:tcBorders>
              <w:left w:val="single" w:sz="4" w:space="0" w:color="auto"/>
              <w:bottom w:val="single" w:sz="4" w:space="0" w:color="auto"/>
              <w:right w:val="single" w:sz="4" w:space="0" w:color="auto"/>
            </w:tcBorders>
            <w:vAlign w:val="center"/>
            <w:hideMark/>
          </w:tcPr>
          <w:p w14:paraId="05EA9556" w14:textId="77777777" w:rsidR="00F962E5" w:rsidRPr="003D4574" w:rsidRDefault="00F962E5" w:rsidP="008A293E">
            <w:pPr>
              <w:spacing w:line="240" w:lineRule="auto"/>
              <w:rPr>
                <w:sz w:val="24"/>
                <w:szCs w:val="24"/>
                <w:lang w:eastAsia="fr-FR"/>
              </w:rPr>
            </w:pPr>
            <w:r w:rsidRPr="003D4574">
              <w:rPr>
                <w:sz w:val="24"/>
                <w:szCs w:val="24"/>
                <w:lang w:eastAsia="fr-FR"/>
              </w:rPr>
              <w:t>2024</w:t>
            </w:r>
          </w:p>
        </w:tc>
        <w:tc>
          <w:tcPr>
            <w:tcW w:w="0" w:type="auto"/>
            <w:tcBorders>
              <w:bottom w:val="single" w:sz="4" w:space="0" w:color="auto"/>
              <w:right w:val="single" w:sz="4" w:space="0" w:color="auto"/>
            </w:tcBorders>
            <w:vAlign w:val="center"/>
            <w:hideMark/>
          </w:tcPr>
          <w:p w14:paraId="136FCA9A" w14:textId="77777777" w:rsidR="00F962E5" w:rsidRPr="003D4574" w:rsidRDefault="00F962E5" w:rsidP="008A293E">
            <w:pPr>
              <w:spacing w:line="240" w:lineRule="auto"/>
              <w:rPr>
                <w:sz w:val="24"/>
                <w:szCs w:val="24"/>
                <w:lang w:eastAsia="fr-FR"/>
              </w:rPr>
            </w:pPr>
            <w:r w:rsidRPr="003D4574">
              <w:rPr>
                <w:sz w:val="24"/>
                <w:szCs w:val="24"/>
                <w:lang w:eastAsia="fr-FR"/>
              </w:rPr>
              <w:t>75</w:t>
            </w:r>
          </w:p>
        </w:tc>
        <w:tc>
          <w:tcPr>
            <w:tcW w:w="0" w:type="auto"/>
            <w:tcBorders>
              <w:bottom w:val="single" w:sz="4" w:space="0" w:color="auto"/>
              <w:right w:val="single" w:sz="4" w:space="0" w:color="auto"/>
            </w:tcBorders>
            <w:vAlign w:val="center"/>
            <w:hideMark/>
          </w:tcPr>
          <w:p w14:paraId="42BC3EED" w14:textId="77777777" w:rsidR="00F962E5" w:rsidRPr="003D4574" w:rsidRDefault="00F962E5" w:rsidP="008A293E">
            <w:pPr>
              <w:spacing w:line="240" w:lineRule="auto"/>
              <w:rPr>
                <w:sz w:val="24"/>
                <w:szCs w:val="24"/>
                <w:lang w:val="en-US" w:eastAsia="fr-FR"/>
              </w:rPr>
            </w:pPr>
            <w:r w:rsidRPr="003D4574">
              <w:rPr>
                <w:sz w:val="24"/>
                <w:szCs w:val="24"/>
                <w:lang w:val="en-US" w:eastAsia="fr-FR"/>
              </w:rPr>
              <w:t>+2 pt recovery; quarterly surveys introduced (Annual Report 2024, p.24).</w:t>
            </w:r>
          </w:p>
        </w:tc>
      </w:tr>
      <w:tr w:rsidR="00F962E5" w:rsidRPr="003D4574" w14:paraId="1206A024" w14:textId="77777777" w:rsidTr="008A293E">
        <w:trPr>
          <w:tblCellSpacing w:w="15" w:type="dxa"/>
        </w:trPr>
        <w:tc>
          <w:tcPr>
            <w:tcW w:w="0" w:type="auto"/>
            <w:tcBorders>
              <w:left w:val="single" w:sz="4" w:space="0" w:color="auto"/>
              <w:bottom w:val="single" w:sz="4" w:space="0" w:color="auto"/>
              <w:right w:val="single" w:sz="4" w:space="0" w:color="auto"/>
            </w:tcBorders>
            <w:vAlign w:val="center"/>
            <w:hideMark/>
          </w:tcPr>
          <w:p w14:paraId="4AAA854A" w14:textId="77777777" w:rsidR="00F962E5" w:rsidRPr="003D4574" w:rsidRDefault="00F962E5" w:rsidP="008A293E">
            <w:pPr>
              <w:spacing w:line="240" w:lineRule="auto"/>
              <w:rPr>
                <w:sz w:val="24"/>
                <w:szCs w:val="24"/>
                <w:lang w:eastAsia="fr-FR"/>
              </w:rPr>
            </w:pPr>
            <w:r w:rsidRPr="003D4574">
              <w:rPr>
                <w:sz w:val="24"/>
                <w:szCs w:val="24"/>
                <w:lang w:eastAsia="fr-FR"/>
              </w:rPr>
              <w:t>2025</w:t>
            </w:r>
          </w:p>
        </w:tc>
        <w:tc>
          <w:tcPr>
            <w:tcW w:w="0" w:type="auto"/>
            <w:tcBorders>
              <w:bottom w:val="single" w:sz="4" w:space="0" w:color="auto"/>
              <w:right w:val="single" w:sz="4" w:space="0" w:color="auto"/>
            </w:tcBorders>
            <w:vAlign w:val="center"/>
            <w:hideMark/>
          </w:tcPr>
          <w:p w14:paraId="0AC854E8" w14:textId="77777777" w:rsidR="00F962E5" w:rsidRPr="003D4574" w:rsidRDefault="00F962E5" w:rsidP="008A293E">
            <w:pPr>
              <w:spacing w:line="240" w:lineRule="auto"/>
              <w:rPr>
                <w:sz w:val="24"/>
                <w:szCs w:val="24"/>
                <w:lang w:eastAsia="fr-FR"/>
              </w:rPr>
            </w:pPr>
            <w:r w:rsidRPr="003D4574">
              <w:rPr>
                <w:sz w:val="24"/>
                <w:szCs w:val="24"/>
                <w:lang w:eastAsia="fr-FR"/>
              </w:rPr>
              <w:t>76</w:t>
            </w:r>
          </w:p>
        </w:tc>
        <w:tc>
          <w:tcPr>
            <w:tcW w:w="0" w:type="auto"/>
            <w:tcBorders>
              <w:bottom w:val="single" w:sz="4" w:space="0" w:color="auto"/>
              <w:right w:val="single" w:sz="4" w:space="0" w:color="auto"/>
            </w:tcBorders>
            <w:vAlign w:val="center"/>
            <w:hideMark/>
          </w:tcPr>
          <w:p w14:paraId="426E06C6" w14:textId="77777777" w:rsidR="00F962E5" w:rsidRPr="003D4574" w:rsidRDefault="00F962E5" w:rsidP="008A293E">
            <w:pPr>
              <w:spacing w:line="240" w:lineRule="auto"/>
              <w:rPr>
                <w:sz w:val="24"/>
                <w:szCs w:val="24"/>
                <w:lang w:val="en-US" w:eastAsia="fr-FR"/>
              </w:rPr>
            </w:pPr>
            <w:r w:rsidRPr="003D4574">
              <w:rPr>
                <w:sz w:val="24"/>
                <w:szCs w:val="24"/>
                <w:lang w:val="en-US" w:eastAsia="fr-FR"/>
              </w:rPr>
              <w:t>Stable; 82% positive on empowerment (Annual Report 2025, p.17).</w:t>
            </w:r>
          </w:p>
        </w:tc>
      </w:tr>
    </w:tbl>
    <w:p w14:paraId="233A4020" w14:textId="77777777" w:rsidR="00F962E5" w:rsidRDefault="00F962E5" w:rsidP="00F962E5">
      <w:pPr>
        <w:spacing w:line="240" w:lineRule="auto"/>
        <w:rPr>
          <w:b/>
          <w:bCs/>
          <w:sz w:val="24"/>
          <w:szCs w:val="24"/>
          <w:lang w:val="en-US" w:eastAsia="fr-FR"/>
        </w:rPr>
      </w:pPr>
    </w:p>
    <w:p w14:paraId="0CBAC433" w14:textId="77777777" w:rsidR="00F962E5" w:rsidRDefault="00F962E5" w:rsidP="00F962E5">
      <w:pPr>
        <w:spacing w:line="240" w:lineRule="auto"/>
        <w:rPr>
          <w:b/>
          <w:bCs/>
          <w:sz w:val="24"/>
          <w:szCs w:val="24"/>
          <w:lang w:val="en-US" w:eastAsia="fr-FR"/>
        </w:rPr>
      </w:pPr>
      <w:r w:rsidRPr="003D4574">
        <w:rPr>
          <w:b/>
          <w:bCs/>
          <w:sz w:val="24"/>
          <w:szCs w:val="24"/>
          <w:lang w:val="en-US" w:eastAsia="fr-FR"/>
        </w:rPr>
        <w:t>2. Inclusion and Diversity Metrics (Overall BT Group, %)</w:t>
      </w:r>
    </w:p>
    <w:p w14:paraId="74059152" w14:textId="77777777" w:rsidR="00F962E5" w:rsidRPr="003D4574" w:rsidRDefault="00F962E5" w:rsidP="00F962E5">
      <w:pPr>
        <w:spacing w:line="240" w:lineRule="auto"/>
        <w:rPr>
          <w:b/>
          <w:bCs/>
          <w:sz w:val="24"/>
          <w:szCs w:val="24"/>
          <w:lang w:val="en-US" w:eastAsia="fr-FR"/>
        </w:rPr>
      </w:pPr>
    </w:p>
    <w:p w14:paraId="14A4EADB" w14:textId="77777777" w:rsidR="00F962E5" w:rsidRPr="003D4574" w:rsidRDefault="00F962E5" w:rsidP="00F962E5">
      <w:pPr>
        <w:spacing w:line="240" w:lineRule="auto"/>
        <w:rPr>
          <w:sz w:val="24"/>
          <w:szCs w:val="24"/>
          <w:lang w:val="en-US" w:eastAsia="fr-FR"/>
        </w:rPr>
      </w:pPr>
      <w:r w:rsidRPr="003D4574">
        <w:rPr>
          <w:sz w:val="24"/>
          <w:szCs w:val="24"/>
          <w:lang w:val="en-US" w:eastAsia="fr-FR"/>
        </w:rPr>
        <w:t>Incremental gains in representation, tied to People Networks and CQ-focused training (e.g., bias removal, reverse mentoring from 2020/21 D&amp;I Report). Targets: 32% women, 13% ethnic minority, 10% disabled by 2025 (met/exceeded in some). Declaration rates ~78–82%.</w:t>
      </w:r>
    </w:p>
    <w:p w14:paraId="15D294F9" w14:textId="77777777" w:rsidR="00F962E5" w:rsidRPr="003D4574" w:rsidRDefault="00F962E5" w:rsidP="00F962E5">
      <w:pPr>
        <w:spacing w:line="240" w:lineRule="auto"/>
        <w:rPr>
          <w:sz w:val="24"/>
          <w:szCs w:val="24"/>
          <w:lang w:val="en-US"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9"/>
        <w:gridCol w:w="1053"/>
        <w:gridCol w:w="1326"/>
        <w:gridCol w:w="1150"/>
        <w:gridCol w:w="5192"/>
      </w:tblGrid>
      <w:tr w:rsidR="00F962E5" w:rsidRPr="003D4574" w14:paraId="7866F8A2" w14:textId="77777777" w:rsidTr="008A293E">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AA9DDE3" w14:textId="77777777" w:rsidR="00F962E5" w:rsidRPr="003D4574" w:rsidRDefault="00F962E5" w:rsidP="008A293E">
            <w:pPr>
              <w:spacing w:line="240" w:lineRule="auto"/>
              <w:rPr>
                <w:sz w:val="24"/>
                <w:szCs w:val="24"/>
                <w:lang w:eastAsia="fr-FR"/>
              </w:rPr>
            </w:pPr>
            <w:r w:rsidRPr="003D4574">
              <w:rPr>
                <w:sz w:val="24"/>
                <w:szCs w:val="24"/>
                <w:lang w:eastAsia="fr-FR"/>
              </w:rPr>
              <w:t>Year</w:t>
            </w:r>
          </w:p>
        </w:tc>
        <w:tc>
          <w:tcPr>
            <w:tcW w:w="0" w:type="auto"/>
            <w:tcBorders>
              <w:top w:val="single" w:sz="4" w:space="0" w:color="auto"/>
              <w:bottom w:val="single" w:sz="4" w:space="0" w:color="auto"/>
              <w:right w:val="single" w:sz="4" w:space="0" w:color="auto"/>
            </w:tcBorders>
            <w:vAlign w:val="center"/>
            <w:hideMark/>
          </w:tcPr>
          <w:p w14:paraId="71B2279A" w14:textId="77777777" w:rsidR="00F962E5" w:rsidRPr="003D4574" w:rsidRDefault="00F962E5" w:rsidP="008A293E">
            <w:pPr>
              <w:spacing w:line="240" w:lineRule="auto"/>
              <w:rPr>
                <w:sz w:val="24"/>
                <w:szCs w:val="24"/>
                <w:lang w:eastAsia="fr-FR"/>
              </w:rPr>
            </w:pPr>
            <w:r w:rsidRPr="003D4574">
              <w:rPr>
                <w:sz w:val="24"/>
                <w:szCs w:val="24"/>
                <w:lang w:eastAsia="fr-FR"/>
              </w:rPr>
              <w:t>Women (%)</w:t>
            </w:r>
          </w:p>
        </w:tc>
        <w:tc>
          <w:tcPr>
            <w:tcW w:w="0" w:type="auto"/>
            <w:tcBorders>
              <w:top w:val="single" w:sz="4" w:space="0" w:color="auto"/>
              <w:bottom w:val="single" w:sz="4" w:space="0" w:color="auto"/>
              <w:right w:val="single" w:sz="4" w:space="0" w:color="auto"/>
            </w:tcBorders>
            <w:vAlign w:val="center"/>
            <w:hideMark/>
          </w:tcPr>
          <w:p w14:paraId="5AA62C7D" w14:textId="77777777" w:rsidR="00F962E5" w:rsidRPr="003D4574" w:rsidRDefault="00F962E5" w:rsidP="008A293E">
            <w:pPr>
              <w:spacing w:line="240" w:lineRule="auto"/>
              <w:rPr>
                <w:sz w:val="24"/>
                <w:szCs w:val="24"/>
                <w:lang w:eastAsia="fr-FR"/>
              </w:rPr>
            </w:pPr>
            <w:r w:rsidRPr="003D4574">
              <w:rPr>
                <w:sz w:val="24"/>
                <w:szCs w:val="24"/>
                <w:lang w:eastAsia="fr-FR"/>
              </w:rPr>
              <w:t>Ethnic Minority (%)</w:t>
            </w:r>
          </w:p>
        </w:tc>
        <w:tc>
          <w:tcPr>
            <w:tcW w:w="0" w:type="auto"/>
            <w:tcBorders>
              <w:top w:val="single" w:sz="4" w:space="0" w:color="auto"/>
              <w:bottom w:val="single" w:sz="4" w:space="0" w:color="auto"/>
            </w:tcBorders>
            <w:vAlign w:val="center"/>
            <w:hideMark/>
          </w:tcPr>
          <w:p w14:paraId="3405A6D4" w14:textId="77777777" w:rsidR="00F962E5" w:rsidRPr="003D4574" w:rsidRDefault="00F962E5" w:rsidP="008A293E">
            <w:pPr>
              <w:spacing w:line="240" w:lineRule="auto"/>
              <w:rPr>
                <w:sz w:val="24"/>
                <w:szCs w:val="24"/>
                <w:lang w:eastAsia="fr-FR"/>
              </w:rPr>
            </w:pPr>
            <w:r w:rsidRPr="003D4574">
              <w:rPr>
                <w:sz w:val="24"/>
                <w:szCs w:val="24"/>
                <w:lang w:eastAsia="fr-FR"/>
              </w:rPr>
              <w:t>Disabled (%)</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DF0AD" w14:textId="77777777" w:rsidR="00F962E5" w:rsidRPr="003D4574" w:rsidRDefault="00F962E5" w:rsidP="008A293E">
            <w:pPr>
              <w:spacing w:line="240" w:lineRule="auto"/>
              <w:rPr>
                <w:sz w:val="24"/>
                <w:szCs w:val="24"/>
                <w:lang w:eastAsia="fr-FR"/>
              </w:rPr>
            </w:pPr>
            <w:r w:rsidRPr="003D4574">
              <w:rPr>
                <w:sz w:val="24"/>
                <w:szCs w:val="24"/>
                <w:lang w:eastAsia="fr-FR"/>
              </w:rPr>
              <w:t>Key Notes</w:t>
            </w:r>
          </w:p>
        </w:tc>
      </w:tr>
      <w:tr w:rsidR="00F962E5" w:rsidRPr="003D4574" w14:paraId="7FDBA372" w14:textId="77777777" w:rsidTr="008A293E">
        <w:trPr>
          <w:tblCellSpacing w:w="15" w:type="dxa"/>
        </w:trPr>
        <w:tc>
          <w:tcPr>
            <w:tcW w:w="0" w:type="auto"/>
            <w:tcBorders>
              <w:left w:val="single" w:sz="4" w:space="0" w:color="auto"/>
              <w:bottom w:val="single" w:sz="4" w:space="0" w:color="auto"/>
              <w:right w:val="single" w:sz="4" w:space="0" w:color="auto"/>
            </w:tcBorders>
            <w:vAlign w:val="center"/>
            <w:hideMark/>
          </w:tcPr>
          <w:p w14:paraId="215D4C40" w14:textId="77777777" w:rsidR="00F962E5" w:rsidRPr="003D4574" w:rsidRDefault="00F962E5" w:rsidP="008A293E">
            <w:pPr>
              <w:spacing w:line="240" w:lineRule="auto"/>
              <w:rPr>
                <w:sz w:val="24"/>
                <w:szCs w:val="24"/>
                <w:lang w:eastAsia="fr-FR"/>
              </w:rPr>
            </w:pPr>
            <w:r w:rsidRPr="003D4574">
              <w:rPr>
                <w:sz w:val="24"/>
                <w:szCs w:val="24"/>
                <w:lang w:eastAsia="fr-FR"/>
              </w:rPr>
              <w:t>2020</w:t>
            </w:r>
          </w:p>
        </w:tc>
        <w:tc>
          <w:tcPr>
            <w:tcW w:w="0" w:type="auto"/>
            <w:tcBorders>
              <w:bottom w:val="single" w:sz="4" w:space="0" w:color="auto"/>
              <w:right w:val="single" w:sz="4" w:space="0" w:color="auto"/>
            </w:tcBorders>
            <w:vAlign w:val="center"/>
            <w:hideMark/>
          </w:tcPr>
          <w:p w14:paraId="1342EE39" w14:textId="77777777" w:rsidR="00F962E5" w:rsidRPr="003D4574" w:rsidRDefault="00F962E5" w:rsidP="008A293E">
            <w:pPr>
              <w:spacing w:line="240" w:lineRule="auto"/>
              <w:rPr>
                <w:sz w:val="24"/>
                <w:szCs w:val="24"/>
                <w:lang w:eastAsia="fr-FR"/>
              </w:rPr>
            </w:pPr>
            <w:r w:rsidRPr="003D4574">
              <w:rPr>
                <w:sz w:val="24"/>
                <w:szCs w:val="24"/>
                <w:lang w:eastAsia="fr-FR"/>
              </w:rPr>
              <w:t>25</w:t>
            </w:r>
          </w:p>
        </w:tc>
        <w:tc>
          <w:tcPr>
            <w:tcW w:w="0" w:type="auto"/>
            <w:tcBorders>
              <w:bottom w:val="single" w:sz="4" w:space="0" w:color="auto"/>
              <w:right w:val="single" w:sz="4" w:space="0" w:color="auto"/>
            </w:tcBorders>
            <w:vAlign w:val="center"/>
            <w:hideMark/>
          </w:tcPr>
          <w:p w14:paraId="09B9B250" w14:textId="77777777" w:rsidR="00F962E5" w:rsidRPr="003D4574" w:rsidRDefault="00F962E5" w:rsidP="008A293E">
            <w:pPr>
              <w:spacing w:line="240" w:lineRule="auto"/>
              <w:rPr>
                <w:sz w:val="24"/>
                <w:szCs w:val="24"/>
                <w:lang w:eastAsia="fr-FR"/>
              </w:rPr>
            </w:pPr>
            <w:r w:rsidRPr="003D4574">
              <w:rPr>
                <w:sz w:val="24"/>
                <w:szCs w:val="24"/>
                <w:lang w:eastAsia="fr-FR"/>
              </w:rPr>
              <w:t>10</w:t>
            </w:r>
          </w:p>
        </w:tc>
        <w:tc>
          <w:tcPr>
            <w:tcW w:w="0" w:type="auto"/>
            <w:tcBorders>
              <w:bottom w:val="single" w:sz="4" w:space="0" w:color="auto"/>
            </w:tcBorders>
            <w:vAlign w:val="center"/>
            <w:hideMark/>
          </w:tcPr>
          <w:p w14:paraId="33FA63FB" w14:textId="77777777" w:rsidR="00F962E5" w:rsidRPr="003D4574" w:rsidRDefault="00F962E5" w:rsidP="008A293E">
            <w:pPr>
              <w:spacing w:line="240" w:lineRule="auto"/>
              <w:rPr>
                <w:sz w:val="24"/>
                <w:szCs w:val="24"/>
                <w:lang w:eastAsia="fr-FR"/>
              </w:rPr>
            </w:pPr>
            <w:r w:rsidRPr="003D4574">
              <w:rPr>
                <w:sz w:val="24"/>
                <w:szCs w:val="24"/>
                <w:lang w:eastAsia="fr-FR"/>
              </w:rPr>
              <w:t>6</w:t>
            </w:r>
          </w:p>
        </w:tc>
        <w:tc>
          <w:tcPr>
            <w:tcW w:w="0" w:type="auto"/>
            <w:tcBorders>
              <w:left w:val="single" w:sz="4" w:space="0" w:color="auto"/>
              <w:bottom w:val="single" w:sz="4" w:space="0" w:color="auto"/>
              <w:right w:val="single" w:sz="4" w:space="0" w:color="auto"/>
            </w:tcBorders>
            <w:vAlign w:val="center"/>
            <w:hideMark/>
          </w:tcPr>
          <w:p w14:paraId="27DA6183" w14:textId="77777777" w:rsidR="00F962E5" w:rsidRPr="003D4574" w:rsidRDefault="00F962E5" w:rsidP="008A293E">
            <w:pPr>
              <w:spacing w:line="240" w:lineRule="auto"/>
              <w:rPr>
                <w:sz w:val="24"/>
                <w:szCs w:val="24"/>
                <w:lang w:val="en-US" w:eastAsia="fr-FR"/>
              </w:rPr>
            </w:pPr>
            <w:proofErr w:type="gramStart"/>
            <w:r w:rsidRPr="003D4574">
              <w:rPr>
                <w:sz w:val="24"/>
                <w:szCs w:val="24"/>
                <w:lang w:val="en-US" w:eastAsia="fr-FR"/>
              </w:rPr>
              <w:t>Baseline;</w:t>
            </w:r>
            <w:proofErr w:type="gramEnd"/>
            <w:r w:rsidRPr="003D4574">
              <w:rPr>
                <w:sz w:val="24"/>
                <w:szCs w:val="24"/>
                <w:lang w:val="en-US" w:eastAsia="fr-FR"/>
              </w:rPr>
              <w:t xml:space="preserve"> early People Networks (10 groups, ~5,000 est. members) launch focus (D&amp;I Report 2020/21 est.).</w:t>
            </w:r>
          </w:p>
        </w:tc>
      </w:tr>
      <w:tr w:rsidR="00F962E5" w:rsidRPr="003D4574" w14:paraId="15D6EE7B" w14:textId="77777777" w:rsidTr="008A293E">
        <w:trPr>
          <w:tblCellSpacing w:w="15" w:type="dxa"/>
        </w:trPr>
        <w:tc>
          <w:tcPr>
            <w:tcW w:w="0" w:type="auto"/>
            <w:tcBorders>
              <w:left w:val="single" w:sz="4" w:space="0" w:color="auto"/>
              <w:right w:val="single" w:sz="4" w:space="0" w:color="auto"/>
            </w:tcBorders>
            <w:vAlign w:val="center"/>
            <w:hideMark/>
          </w:tcPr>
          <w:p w14:paraId="281A49D9" w14:textId="77777777" w:rsidR="00F962E5" w:rsidRPr="003D4574" w:rsidRDefault="00F962E5" w:rsidP="008A293E">
            <w:pPr>
              <w:spacing w:line="240" w:lineRule="auto"/>
              <w:rPr>
                <w:sz w:val="24"/>
                <w:szCs w:val="24"/>
                <w:lang w:eastAsia="fr-FR"/>
              </w:rPr>
            </w:pPr>
            <w:r w:rsidRPr="003D4574">
              <w:rPr>
                <w:sz w:val="24"/>
                <w:szCs w:val="24"/>
                <w:lang w:eastAsia="fr-FR"/>
              </w:rPr>
              <w:t>2021</w:t>
            </w:r>
          </w:p>
        </w:tc>
        <w:tc>
          <w:tcPr>
            <w:tcW w:w="0" w:type="auto"/>
            <w:tcBorders>
              <w:right w:val="single" w:sz="4" w:space="0" w:color="auto"/>
            </w:tcBorders>
            <w:vAlign w:val="center"/>
            <w:hideMark/>
          </w:tcPr>
          <w:p w14:paraId="138FC002" w14:textId="77777777" w:rsidR="00F962E5" w:rsidRPr="003D4574" w:rsidRDefault="00F962E5" w:rsidP="008A293E">
            <w:pPr>
              <w:spacing w:line="240" w:lineRule="auto"/>
              <w:rPr>
                <w:sz w:val="24"/>
                <w:szCs w:val="24"/>
                <w:lang w:eastAsia="fr-FR"/>
              </w:rPr>
            </w:pPr>
            <w:r w:rsidRPr="003D4574">
              <w:rPr>
                <w:sz w:val="24"/>
                <w:szCs w:val="24"/>
                <w:lang w:eastAsia="fr-FR"/>
              </w:rPr>
              <w:t>26</w:t>
            </w:r>
          </w:p>
        </w:tc>
        <w:tc>
          <w:tcPr>
            <w:tcW w:w="0" w:type="auto"/>
            <w:tcBorders>
              <w:right w:val="single" w:sz="4" w:space="0" w:color="auto"/>
            </w:tcBorders>
            <w:vAlign w:val="center"/>
            <w:hideMark/>
          </w:tcPr>
          <w:p w14:paraId="0CC5CCB8" w14:textId="77777777" w:rsidR="00F962E5" w:rsidRPr="003D4574" w:rsidRDefault="00F962E5" w:rsidP="008A293E">
            <w:pPr>
              <w:spacing w:line="240" w:lineRule="auto"/>
              <w:rPr>
                <w:sz w:val="24"/>
                <w:szCs w:val="24"/>
                <w:lang w:eastAsia="fr-FR"/>
              </w:rPr>
            </w:pPr>
            <w:r w:rsidRPr="003D4574">
              <w:rPr>
                <w:sz w:val="24"/>
                <w:szCs w:val="24"/>
                <w:lang w:eastAsia="fr-FR"/>
              </w:rPr>
              <w:t>11</w:t>
            </w:r>
          </w:p>
        </w:tc>
        <w:tc>
          <w:tcPr>
            <w:tcW w:w="0" w:type="auto"/>
            <w:vAlign w:val="center"/>
            <w:hideMark/>
          </w:tcPr>
          <w:p w14:paraId="1B4B66F8" w14:textId="77777777" w:rsidR="00F962E5" w:rsidRPr="003D4574" w:rsidRDefault="00F962E5" w:rsidP="008A293E">
            <w:pPr>
              <w:spacing w:line="240" w:lineRule="auto"/>
              <w:rPr>
                <w:sz w:val="24"/>
                <w:szCs w:val="24"/>
                <w:lang w:eastAsia="fr-FR"/>
              </w:rPr>
            </w:pPr>
            <w:r w:rsidRPr="003D4574">
              <w:rPr>
                <w:sz w:val="24"/>
                <w:szCs w:val="24"/>
                <w:lang w:eastAsia="fr-FR"/>
              </w:rPr>
              <w:t>6.5</w:t>
            </w:r>
          </w:p>
        </w:tc>
        <w:tc>
          <w:tcPr>
            <w:tcW w:w="0" w:type="auto"/>
            <w:tcBorders>
              <w:left w:val="single" w:sz="4" w:space="0" w:color="auto"/>
              <w:right w:val="single" w:sz="4" w:space="0" w:color="auto"/>
            </w:tcBorders>
            <w:vAlign w:val="center"/>
            <w:hideMark/>
          </w:tcPr>
          <w:p w14:paraId="36B9ED72" w14:textId="77777777" w:rsidR="00F962E5" w:rsidRPr="003D4574" w:rsidRDefault="00F962E5" w:rsidP="008A293E">
            <w:pPr>
              <w:spacing w:line="240" w:lineRule="auto"/>
              <w:rPr>
                <w:sz w:val="24"/>
                <w:szCs w:val="24"/>
                <w:lang w:val="en-US" w:eastAsia="fr-FR"/>
              </w:rPr>
            </w:pPr>
            <w:r w:rsidRPr="003D4574">
              <w:rPr>
                <w:sz w:val="24"/>
                <w:szCs w:val="24"/>
                <w:lang w:val="en-US" w:eastAsia="fr-FR"/>
              </w:rPr>
              <w:t>26% women confirmed; ERAP/DRAP plans start for ethnic/disability equity (D&amp;I Report 2020/21).</w:t>
            </w:r>
          </w:p>
        </w:tc>
      </w:tr>
      <w:tr w:rsidR="00F962E5" w:rsidRPr="003D4574" w14:paraId="27FD2B8E" w14:textId="77777777" w:rsidTr="008A293E">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7187A3C5" w14:textId="77777777" w:rsidR="00F962E5" w:rsidRPr="003D4574" w:rsidRDefault="00F962E5" w:rsidP="008A293E">
            <w:pPr>
              <w:spacing w:line="240" w:lineRule="auto"/>
              <w:rPr>
                <w:sz w:val="24"/>
                <w:szCs w:val="24"/>
                <w:lang w:eastAsia="fr-FR"/>
              </w:rPr>
            </w:pPr>
            <w:r w:rsidRPr="003D4574">
              <w:rPr>
                <w:sz w:val="24"/>
                <w:szCs w:val="24"/>
                <w:lang w:eastAsia="fr-FR"/>
              </w:rPr>
              <w:t>2022</w:t>
            </w:r>
          </w:p>
        </w:tc>
        <w:tc>
          <w:tcPr>
            <w:tcW w:w="0" w:type="auto"/>
            <w:tcBorders>
              <w:top w:val="single" w:sz="4" w:space="0" w:color="auto"/>
              <w:bottom w:val="single" w:sz="4" w:space="0" w:color="auto"/>
              <w:right w:val="single" w:sz="4" w:space="0" w:color="auto"/>
            </w:tcBorders>
            <w:vAlign w:val="center"/>
            <w:hideMark/>
          </w:tcPr>
          <w:p w14:paraId="7BA2BA84" w14:textId="77777777" w:rsidR="00F962E5" w:rsidRPr="003D4574" w:rsidRDefault="00F962E5" w:rsidP="008A293E">
            <w:pPr>
              <w:spacing w:line="240" w:lineRule="auto"/>
              <w:rPr>
                <w:sz w:val="24"/>
                <w:szCs w:val="24"/>
                <w:lang w:eastAsia="fr-FR"/>
              </w:rPr>
            </w:pPr>
            <w:r w:rsidRPr="003D4574">
              <w:rPr>
                <w:sz w:val="24"/>
                <w:szCs w:val="24"/>
                <w:lang w:eastAsia="fr-FR"/>
              </w:rPr>
              <w:t>26</w:t>
            </w:r>
          </w:p>
        </w:tc>
        <w:tc>
          <w:tcPr>
            <w:tcW w:w="0" w:type="auto"/>
            <w:tcBorders>
              <w:top w:val="single" w:sz="4" w:space="0" w:color="auto"/>
              <w:bottom w:val="single" w:sz="4" w:space="0" w:color="auto"/>
              <w:right w:val="single" w:sz="4" w:space="0" w:color="auto"/>
            </w:tcBorders>
            <w:vAlign w:val="center"/>
            <w:hideMark/>
          </w:tcPr>
          <w:p w14:paraId="2CDA6732" w14:textId="77777777" w:rsidR="00F962E5" w:rsidRPr="003D4574" w:rsidRDefault="00F962E5" w:rsidP="008A293E">
            <w:pPr>
              <w:spacing w:line="240" w:lineRule="auto"/>
              <w:rPr>
                <w:sz w:val="24"/>
                <w:szCs w:val="24"/>
                <w:lang w:eastAsia="fr-FR"/>
              </w:rPr>
            </w:pPr>
            <w:r w:rsidRPr="003D4574">
              <w:rPr>
                <w:sz w:val="24"/>
                <w:szCs w:val="24"/>
                <w:lang w:eastAsia="fr-FR"/>
              </w:rPr>
              <w:t>11</w:t>
            </w:r>
          </w:p>
        </w:tc>
        <w:tc>
          <w:tcPr>
            <w:tcW w:w="0" w:type="auto"/>
            <w:tcBorders>
              <w:top w:val="single" w:sz="4" w:space="0" w:color="auto"/>
              <w:bottom w:val="single" w:sz="4" w:space="0" w:color="auto"/>
            </w:tcBorders>
            <w:vAlign w:val="center"/>
            <w:hideMark/>
          </w:tcPr>
          <w:p w14:paraId="51B5ABC6" w14:textId="77777777" w:rsidR="00F962E5" w:rsidRPr="003D4574" w:rsidRDefault="00F962E5" w:rsidP="008A293E">
            <w:pPr>
              <w:spacing w:line="240" w:lineRule="auto"/>
              <w:rPr>
                <w:sz w:val="24"/>
                <w:szCs w:val="24"/>
                <w:lang w:eastAsia="fr-FR"/>
              </w:rPr>
            </w:pPr>
            <w:r w:rsidRPr="003D4574">
              <w:rPr>
                <w:sz w:val="24"/>
                <w:szCs w:val="24"/>
                <w:lang w:eastAsia="fr-FR"/>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418BB720" w14:textId="77777777" w:rsidR="00F962E5" w:rsidRPr="003D4574" w:rsidRDefault="00F962E5" w:rsidP="008A293E">
            <w:pPr>
              <w:spacing w:line="240" w:lineRule="auto"/>
              <w:rPr>
                <w:sz w:val="24"/>
                <w:szCs w:val="24"/>
                <w:lang w:val="en-US" w:eastAsia="fr-FR"/>
              </w:rPr>
            </w:pPr>
            <w:r w:rsidRPr="003D4574">
              <w:rPr>
                <w:sz w:val="24"/>
                <w:szCs w:val="24"/>
                <w:lang w:val="en-US" w:eastAsia="fr-FR"/>
              </w:rPr>
              <w:t>~11% BAME UK; networks active (no total; Annual Report 2022, p.54).</w:t>
            </w:r>
          </w:p>
        </w:tc>
      </w:tr>
      <w:tr w:rsidR="00F962E5" w:rsidRPr="003D4574" w14:paraId="17BDFABB" w14:textId="77777777" w:rsidTr="008A293E">
        <w:trPr>
          <w:tblCellSpacing w:w="15" w:type="dxa"/>
        </w:trPr>
        <w:tc>
          <w:tcPr>
            <w:tcW w:w="0" w:type="auto"/>
            <w:tcBorders>
              <w:top w:val="single" w:sz="4" w:space="0" w:color="auto"/>
              <w:left w:val="single" w:sz="4" w:space="0" w:color="auto"/>
            </w:tcBorders>
            <w:vAlign w:val="center"/>
            <w:hideMark/>
          </w:tcPr>
          <w:p w14:paraId="367CB3C3" w14:textId="77777777" w:rsidR="00F962E5" w:rsidRPr="003D4574" w:rsidRDefault="00F962E5" w:rsidP="008A293E">
            <w:pPr>
              <w:spacing w:line="240" w:lineRule="auto"/>
              <w:rPr>
                <w:sz w:val="24"/>
                <w:szCs w:val="24"/>
                <w:lang w:eastAsia="fr-FR"/>
              </w:rPr>
            </w:pPr>
            <w:r w:rsidRPr="003D4574">
              <w:rPr>
                <w:sz w:val="24"/>
                <w:szCs w:val="24"/>
                <w:lang w:eastAsia="fr-FR"/>
              </w:rPr>
              <w:t>2023</w:t>
            </w:r>
          </w:p>
        </w:tc>
        <w:tc>
          <w:tcPr>
            <w:tcW w:w="0" w:type="auto"/>
            <w:tcBorders>
              <w:top w:val="single" w:sz="4" w:space="0" w:color="auto"/>
              <w:left w:val="single" w:sz="4" w:space="0" w:color="auto"/>
            </w:tcBorders>
            <w:vAlign w:val="center"/>
            <w:hideMark/>
          </w:tcPr>
          <w:p w14:paraId="69091D20" w14:textId="77777777" w:rsidR="00F962E5" w:rsidRPr="003D4574" w:rsidRDefault="00F962E5" w:rsidP="008A293E">
            <w:pPr>
              <w:spacing w:line="240" w:lineRule="auto"/>
              <w:rPr>
                <w:sz w:val="24"/>
                <w:szCs w:val="24"/>
                <w:lang w:eastAsia="fr-FR"/>
              </w:rPr>
            </w:pPr>
            <w:r w:rsidRPr="003D4574">
              <w:rPr>
                <w:sz w:val="24"/>
                <w:szCs w:val="24"/>
                <w:lang w:eastAsia="fr-FR"/>
              </w:rPr>
              <w:t>25.7</w:t>
            </w:r>
          </w:p>
        </w:tc>
        <w:tc>
          <w:tcPr>
            <w:tcW w:w="0" w:type="auto"/>
            <w:tcBorders>
              <w:top w:val="single" w:sz="4" w:space="0" w:color="auto"/>
              <w:left w:val="single" w:sz="4" w:space="0" w:color="auto"/>
            </w:tcBorders>
            <w:vAlign w:val="center"/>
            <w:hideMark/>
          </w:tcPr>
          <w:p w14:paraId="1DAF33F0" w14:textId="77777777" w:rsidR="00F962E5" w:rsidRPr="003D4574" w:rsidRDefault="00F962E5" w:rsidP="008A293E">
            <w:pPr>
              <w:spacing w:line="240" w:lineRule="auto"/>
              <w:rPr>
                <w:sz w:val="24"/>
                <w:szCs w:val="24"/>
                <w:lang w:eastAsia="fr-FR"/>
              </w:rPr>
            </w:pPr>
            <w:r w:rsidRPr="003D4574">
              <w:rPr>
                <w:sz w:val="24"/>
                <w:szCs w:val="24"/>
                <w:lang w:eastAsia="fr-FR"/>
              </w:rPr>
              <w:t>11.5</w:t>
            </w:r>
          </w:p>
        </w:tc>
        <w:tc>
          <w:tcPr>
            <w:tcW w:w="0" w:type="auto"/>
            <w:tcBorders>
              <w:top w:val="single" w:sz="4" w:space="0" w:color="auto"/>
              <w:left w:val="single" w:sz="4" w:space="0" w:color="auto"/>
            </w:tcBorders>
            <w:vAlign w:val="center"/>
            <w:hideMark/>
          </w:tcPr>
          <w:p w14:paraId="65683376" w14:textId="77777777" w:rsidR="00F962E5" w:rsidRPr="003D4574" w:rsidRDefault="00F962E5" w:rsidP="008A293E">
            <w:pPr>
              <w:spacing w:line="240" w:lineRule="auto"/>
              <w:rPr>
                <w:sz w:val="24"/>
                <w:szCs w:val="24"/>
                <w:lang w:eastAsia="fr-FR"/>
              </w:rPr>
            </w:pPr>
            <w:r w:rsidRPr="003D4574">
              <w:rPr>
                <w:sz w:val="24"/>
                <w:szCs w:val="24"/>
                <w:lang w:eastAsia="fr-FR"/>
              </w:rPr>
              <w:t>7.2</w:t>
            </w:r>
          </w:p>
        </w:tc>
        <w:tc>
          <w:tcPr>
            <w:tcW w:w="0" w:type="auto"/>
            <w:tcBorders>
              <w:top w:val="single" w:sz="4" w:space="0" w:color="auto"/>
              <w:left w:val="single" w:sz="4" w:space="0" w:color="auto"/>
              <w:right w:val="single" w:sz="4" w:space="0" w:color="auto"/>
            </w:tcBorders>
            <w:vAlign w:val="center"/>
            <w:hideMark/>
          </w:tcPr>
          <w:p w14:paraId="698B1553" w14:textId="77777777" w:rsidR="00F962E5" w:rsidRPr="003D4574" w:rsidRDefault="00F962E5" w:rsidP="008A293E">
            <w:pPr>
              <w:spacing w:line="240" w:lineRule="auto"/>
              <w:rPr>
                <w:sz w:val="24"/>
                <w:szCs w:val="24"/>
                <w:lang w:val="en-US" w:eastAsia="fr-FR"/>
              </w:rPr>
            </w:pPr>
            <w:r w:rsidRPr="003D4574">
              <w:rPr>
                <w:sz w:val="24"/>
                <w:szCs w:val="24"/>
                <w:lang w:val="en-US" w:eastAsia="fr-FR"/>
              </w:rPr>
              <w:t>7,500 network members; inclusion index in bonuses (Annual Report 2023, p.33).</w:t>
            </w:r>
          </w:p>
        </w:tc>
      </w:tr>
      <w:tr w:rsidR="00F962E5" w:rsidRPr="003D4574" w14:paraId="32DE9574" w14:textId="77777777" w:rsidTr="008A293E">
        <w:trPr>
          <w:tblCellSpacing w:w="15" w:type="dxa"/>
        </w:trPr>
        <w:tc>
          <w:tcPr>
            <w:tcW w:w="0" w:type="auto"/>
            <w:tcBorders>
              <w:top w:val="single" w:sz="4" w:space="0" w:color="auto"/>
              <w:left w:val="single" w:sz="4" w:space="0" w:color="auto"/>
            </w:tcBorders>
            <w:vAlign w:val="center"/>
            <w:hideMark/>
          </w:tcPr>
          <w:p w14:paraId="6E4888C9" w14:textId="77777777" w:rsidR="00F962E5" w:rsidRPr="003D4574" w:rsidRDefault="00F962E5" w:rsidP="008A293E">
            <w:pPr>
              <w:spacing w:line="240" w:lineRule="auto"/>
              <w:rPr>
                <w:sz w:val="24"/>
                <w:szCs w:val="24"/>
                <w:lang w:eastAsia="fr-FR"/>
              </w:rPr>
            </w:pPr>
            <w:r w:rsidRPr="003D4574">
              <w:rPr>
                <w:sz w:val="24"/>
                <w:szCs w:val="24"/>
                <w:lang w:eastAsia="fr-FR"/>
              </w:rPr>
              <w:t>2024</w:t>
            </w:r>
          </w:p>
        </w:tc>
        <w:tc>
          <w:tcPr>
            <w:tcW w:w="0" w:type="auto"/>
            <w:tcBorders>
              <w:top w:val="single" w:sz="4" w:space="0" w:color="auto"/>
              <w:left w:val="single" w:sz="4" w:space="0" w:color="auto"/>
            </w:tcBorders>
            <w:vAlign w:val="center"/>
            <w:hideMark/>
          </w:tcPr>
          <w:p w14:paraId="6FB47157" w14:textId="77777777" w:rsidR="00F962E5" w:rsidRPr="003D4574" w:rsidRDefault="00F962E5" w:rsidP="008A293E">
            <w:pPr>
              <w:spacing w:line="240" w:lineRule="auto"/>
              <w:rPr>
                <w:sz w:val="24"/>
                <w:szCs w:val="24"/>
                <w:lang w:eastAsia="fr-FR"/>
              </w:rPr>
            </w:pPr>
            <w:r w:rsidRPr="003D4574">
              <w:rPr>
                <w:sz w:val="24"/>
                <w:szCs w:val="24"/>
                <w:lang w:eastAsia="fr-FR"/>
              </w:rPr>
              <w:t>26</w:t>
            </w:r>
          </w:p>
        </w:tc>
        <w:tc>
          <w:tcPr>
            <w:tcW w:w="0" w:type="auto"/>
            <w:tcBorders>
              <w:top w:val="single" w:sz="4" w:space="0" w:color="auto"/>
              <w:left w:val="single" w:sz="4" w:space="0" w:color="auto"/>
            </w:tcBorders>
            <w:vAlign w:val="center"/>
            <w:hideMark/>
          </w:tcPr>
          <w:p w14:paraId="786D0D37" w14:textId="77777777" w:rsidR="00F962E5" w:rsidRPr="003D4574" w:rsidRDefault="00F962E5" w:rsidP="008A293E">
            <w:pPr>
              <w:spacing w:line="240" w:lineRule="auto"/>
              <w:rPr>
                <w:sz w:val="24"/>
                <w:szCs w:val="24"/>
                <w:lang w:eastAsia="fr-FR"/>
              </w:rPr>
            </w:pPr>
            <w:r w:rsidRPr="003D4574">
              <w:rPr>
                <w:sz w:val="24"/>
                <w:szCs w:val="24"/>
                <w:lang w:eastAsia="fr-FR"/>
              </w:rPr>
              <w:t>13</w:t>
            </w:r>
          </w:p>
        </w:tc>
        <w:tc>
          <w:tcPr>
            <w:tcW w:w="0" w:type="auto"/>
            <w:tcBorders>
              <w:top w:val="single" w:sz="4" w:space="0" w:color="auto"/>
              <w:left w:val="single" w:sz="4" w:space="0" w:color="auto"/>
            </w:tcBorders>
            <w:vAlign w:val="center"/>
            <w:hideMark/>
          </w:tcPr>
          <w:p w14:paraId="0AA0E581" w14:textId="77777777" w:rsidR="00F962E5" w:rsidRPr="003D4574" w:rsidRDefault="00F962E5" w:rsidP="008A293E">
            <w:pPr>
              <w:spacing w:line="240" w:lineRule="auto"/>
              <w:rPr>
                <w:sz w:val="24"/>
                <w:szCs w:val="24"/>
                <w:lang w:eastAsia="fr-FR"/>
              </w:rPr>
            </w:pPr>
            <w:r w:rsidRPr="003D4574">
              <w:rPr>
                <w:sz w:val="24"/>
                <w:szCs w:val="24"/>
                <w:lang w:eastAsia="fr-FR"/>
              </w:rPr>
              <w:t>8</w:t>
            </w:r>
          </w:p>
        </w:tc>
        <w:tc>
          <w:tcPr>
            <w:tcW w:w="0" w:type="auto"/>
            <w:tcBorders>
              <w:top w:val="single" w:sz="4" w:space="0" w:color="auto"/>
              <w:left w:val="single" w:sz="4" w:space="0" w:color="auto"/>
              <w:right w:val="single" w:sz="4" w:space="0" w:color="auto"/>
            </w:tcBorders>
            <w:vAlign w:val="center"/>
            <w:hideMark/>
          </w:tcPr>
          <w:p w14:paraId="59913657" w14:textId="77777777" w:rsidR="00F962E5" w:rsidRPr="003D4574" w:rsidRDefault="00F962E5" w:rsidP="008A293E">
            <w:pPr>
              <w:spacing w:line="240" w:lineRule="auto"/>
              <w:rPr>
                <w:sz w:val="24"/>
                <w:szCs w:val="24"/>
                <w:lang w:val="en-US" w:eastAsia="fr-FR"/>
              </w:rPr>
            </w:pPr>
            <w:r w:rsidRPr="003D4574">
              <w:rPr>
                <w:sz w:val="24"/>
                <w:szCs w:val="24"/>
                <w:lang w:val="en-US" w:eastAsia="fr-FR"/>
              </w:rPr>
              <w:t xml:space="preserve">Target met for </w:t>
            </w:r>
            <w:proofErr w:type="gramStart"/>
            <w:r w:rsidRPr="003D4574">
              <w:rPr>
                <w:sz w:val="24"/>
                <w:szCs w:val="24"/>
                <w:lang w:val="en-US" w:eastAsia="fr-FR"/>
              </w:rPr>
              <w:t>ethnic</w:t>
            </w:r>
            <w:proofErr w:type="gramEnd"/>
            <w:r w:rsidRPr="003D4574">
              <w:rPr>
                <w:sz w:val="24"/>
                <w:szCs w:val="24"/>
                <w:lang w:val="en-US" w:eastAsia="fr-FR"/>
              </w:rPr>
              <w:t>; networks award-winning (e.g., Ethnic Diversity; Annual Report 2024, p.31).</w:t>
            </w:r>
          </w:p>
        </w:tc>
      </w:tr>
      <w:tr w:rsidR="00F962E5" w:rsidRPr="003D4574" w14:paraId="6398B59E" w14:textId="77777777" w:rsidTr="008A293E">
        <w:trPr>
          <w:tblCellSpacing w:w="15" w:type="dxa"/>
        </w:trPr>
        <w:tc>
          <w:tcPr>
            <w:tcW w:w="0" w:type="auto"/>
            <w:tcBorders>
              <w:top w:val="single" w:sz="4" w:space="0" w:color="auto"/>
              <w:left w:val="single" w:sz="4" w:space="0" w:color="auto"/>
              <w:bottom w:val="single" w:sz="4" w:space="0" w:color="auto"/>
            </w:tcBorders>
            <w:vAlign w:val="center"/>
            <w:hideMark/>
          </w:tcPr>
          <w:p w14:paraId="2018418F" w14:textId="77777777" w:rsidR="00F962E5" w:rsidRPr="003D4574" w:rsidRDefault="00F962E5" w:rsidP="008A293E">
            <w:pPr>
              <w:spacing w:line="240" w:lineRule="auto"/>
              <w:rPr>
                <w:sz w:val="24"/>
                <w:szCs w:val="24"/>
                <w:lang w:eastAsia="fr-FR"/>
              </w:rPr>
            </w:pPr>
            <w:r w:rsidRPr="003D4574">
              <w:rPr>
                <w:sz w:val="24"/>
                <w:szCs w:val="24"/>
                <w:lang w:eastAsia="fr-FR"/>
              </w:rPr>
              <w:lastRenderedPageBreak/>
              <w:t>2025</w:t>
            </w:r>
          </w:p>
        </w:tc>
        <w:tc>
          <w:tcPr>
            <w:tcW w:w="0" w:type="auto"/>
            <w:tcBorders>
              <w:top w:val="single" w:sz="4" w:space="0" w:color="auto"/>
              <w:left w:val="single" w:sz="4" w:space="0" w:color="auto"/>
              <w:bottom w:val="single" w:sz="4" w:space="0" w:color="auto"/>
            </w:tcBorders>
            <w:vAlign w:val="center"/>
            <w:hideMark/>
          </w:tcPr>
          <w:p w14:paraId="5D97CA30" w14:textId="77777777" w:rsidR="00F962E5" w:rsidRPr="003D4574" w:rsidRDefault="00F962E5" w:rsidP="008A293E">
            <w:pPr>
              <w:spacing w:line="240" w:lineRule="auto"/>
              <w:rPr>
                <w:sz w:val="24"/>
                <w:szCs w:val="24"/>
                <w:lang w:eastAsia="fr-FR"/>
              </w:rPr>
            </w:pPr>
            <w:r w:rsidRPr="003D4574">
              <w:rPr>
                <w:sz w:val="24"/>
                <w:szCs w:val="24"/>
                <w:lang w:eastAsia="fr-FR"/>
              </w:rPr>
              <w:t>27</w:t>
            </w:r>
          </w:p>
        </w:tc>
        <w:tc>
          <w:tcPr>
            <w:tcW w:w="0" w:type="auto"/>
            <w:tcBorders>
              <w:top w:val="single" w:sz="4" w:space="0" w:color="auto"/>
              <w:left w:val="single" w:sz="4" w:space="0" w:color="auto"/>
              <w:bottom w:val="single" w:sz="4" w:space="0" w:color="auto"/>
            </w:tcBorders>
            <w:vAlign w:val="center"/>
            <w:hideMark/>
          </w:tcPr>
          <w:p w14:paraId="233478F8" w14:textId="77777777" w:rsidR="00F962E5" w:rsidRPr="003D4574" w:rsidRDefault="00F962E5" w:rsidP="008A293E">
            <w:pPr>
              <w:spacing w:line="240" w:lineRule="auto"/>
              <w:rPr>
                <w:sz w:val="24"/>
                <w:szCs w:val="24"/>
                <w:lang w:eastAsia="fr-FR"/>
              </w:rPr>
            </w:pPr>
            <w:r w:rsidRPr="003D4574">
              <w:rPr>
                <w:sz w:val="24"/>
                <w:szCs w:val="24"/>
                <w:lang w:eastAsia="fr-FR"/>
              </w:rPr>
              <w:t>15</w:t>
            </w:r>
          </w:p>
        </w:tc>
        <w:tc>
          <w:tcPr>
            <w:tcW w:w="0" w:type="auto"/>
            <w:tcBorders>
              <w:top w:val="single" w:sz="4" w:space="0" w:color="auto"/>
              <w:left w:val="single" w:sz="4" w:space="0" w:color="auto"/>
              <w:bottom w:val="single" w:sz="4" w:space="0" w:color="auto"/>
            </w:tcBorders>
            <w:vAlign w:val="center"/>
            <w:hideMark/>
          </w:tcPr>
          <w:p w14:paraId="2F117A4B" w14:textId="77777777" w:rsidR="00F962E5" w:rsidRPr="003D4574" w:rsidRDefault="00F962E5" w:rsidP="008A293E">
            <w:pPr>
              <w:spacing w:line="240" w:lineRule="auto"/>
              <w:rPr>
                <w:sz w:val="24"/>
                <w:szCs w:val="24"/>
                <w:lang w:eastAsia="fr-FR"/>
              </w:rPr>
            </w:pPr>
            <w:r w:rsidRPr="003D4574">
              <w:rPr>
                <w:sz w:val="24"/>
                <w:szCs w:val="24"/>
                <w:lang w:eastAsia="fr-FR"/>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4C8D4B90" w14:textId="77777777" w:rsidR="00F962E5" w:rsidRPr="003D4574" w:rsidRDefault="00F962E5" w:rsidP="008A293E">
            <w:pPr>
              <w:spacing w:line="240" w:lineRule="auto"/>
              <w:rPr>
                <w:sz w:val="24"/>
                <w:szCs w:val="24"/>
                <w:lang w:val="en-US" w:eastAsia="fr-FR"/>
              </w:rPr>
            </w:pPr>
            <w:r w:rsidRPr="003D4574">
              <w:rPr>
                <w:sz w:val="24"/>
                <w:szCs w:val="24"/>
                <w:lang w:val="en-US" w:eastAsia="fr-FR"/>
              </w:rPr>
              <w:t>&gt;9,600 members; senior gains (e.g., 38% women in leadership; Annual Report 2025, p.24).</w:t>
            </w:r>
          </w:p>
        </w:tc>
      </w:tr>
    </w:tbl>
    <w:p w14:paraId="747C5439" w14:textId="77777777" w:rsidR="00F962E5" w:rsidRPr="003D4574" w:rsidRDefault="00F962E5" w:rsidP="00F962E5">
      <w:pPr>
        <w:spacing w:line="240" w:lineRule="auto"/>
        <w:rPr>
          <w:sz w:val="24"/>
          <w:szCs w:val="24"/>
          <w:lang w:val="en-US" w:eastAsia="fr-FR"/>
        </w:rPr>
      </w:pPr>
    </w:p>
    <w:p w14:paraId="60B80923" w14:textId="77777777" w:rsidR="00F962E5" w:rsidRDefault="00F962E5" w:rsidP="00F962E5">
      <w:pPr>
        <w:spacing w:line="240" w:lineRule="auto"/>
        <w:rPr>
          <w:b/>
          <w:bCs/>
          <w:sz w:val="24"/>
          <w:szCs w:val="24"/>
          <w:lang w:val="en-US" w:eastAsia="fr-FR"/>
        </w:rPr>
      </w:pPr>
      <w:r w:rsidRPr="003D4574">
        <w:rPr>
          <w:b/>
          <w:bCs/>
          <w:sz w:val="24"/>
          <w:szCs w:val="24"/>
          <w:lang w:val="en-US" w:eastAsia="fr-FR"/>
        </w:rPr>
        <w:t>3. Performance: Annual Cost Savings (£m)</w:t>
      </w:r>
    </w:p>
    <w:p w14:paraId="0F437C6D" w14:textId="77777777" w:rsidR="00F962E5" w:rsidRPr="003D4574" w:rsidRDefault="00F962E5" w:rsidP="00F962E5">
      <w:pPr>
        <w:spacing w:line="240" w:lineRule="auto"/>
        <w:rPr>
          <w:b/>
          <w:bCs/>
          <w:sz w:val="24"/>
          <w:szCs w:val="24"/>
          <w:lang w:val="en-US" w:eastAsia="fr-FR"/>
        </w:rPr>
      </w:pPr>
    </w:p>
    <w:p w14:paraId="2B092CFA" w14:textId="77777777" w:rsidR="00F962E5" w:rsidRDefault="00F962E5" w:rsidP="00F962E5">
      <w:pPr>
        <w:spacing w:line="240" w:lineRule="auto"/>
        <w:rPr>
          <w:sz w:val="24"/>
          <w:szCs w:val="24"/>
          <w:lang w:eastAsia="fr-FR"/>
        </w:rPr>
      </w:pPr>
      <w:r w:rsidRPr="003D4574">
        <w:rPr>
          <w:sz w:val="24"/>
          <w:szCs w:val="24"/>
          <w:lang w:val="en-US" w:eastAsia="fr-FR"/>
        </w:rPr>
        <w:t xml:space="preserve">Savings linked to transformation (e.g., network decommissioning, agile working), supporting hybrid efficiencies. </w:t>
      </w:r>
      <w:r w:rsidRPr="003D4574">
        <w:rPr>
          <w:sz w:val="24"/>
          <w:szCs w:val="24"/>
          <w:lang w:eastAsia="fr-FR"/>
        </w:rPr>
        <w:t>Cumulative £3bn achieved early by 2024</w:t>
      </w:r>
    </w:p>
    <w:p w14:paraId="1A0F4252" w14:textId="77777777" w:rsidR="00F962E5" w:rsidRPr="003D4574" w:rsidRDefault="00F962E5" w:rsidP="00F962E5">
      <w:pPr>
        <w:spacing w:line="240" w:lineRule="auto"/>
        <w:rPr>
          <w:sz w:val="24"/>
          <w:szCs w:val="24"/>
          <w:lang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9"/>
        <w:gridCol w:w="1354"/>
        <w:gridCol w:w="7367"/>
      </w:tblGrid>
      <w:tr w:rsidR="00F962E5" w:rsidRPr="003D4574" w14:paraId="3D95CAC0" w14:textId="77777777" w:rsidTr="008A293E">
        <w:trPr>
          <w:tblHeade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67012EA" w14:textId="77777777" w:rsidR="00F962E5" w:rsidRPr="003D4574" w:rsidRDefault="00F962E5" w:rsidP="008A293E">
            <w:pPr>
              <w:spacing w:line="240" w:lineRule="auto"/>
              <w:rPr>
                <w:sz w:val="24"/>
                <w:szCs w:val="24"/>
                <w:lang w:eastAsia="fr-FR"/>
              </w:rPr>
            </w:pPr>
            <w:r w:rsidRPr="003D4574">
              <w:rPr>
                <w:sz w:val="24"/>
                <w:szCs w:val="24"/>
                <w:lang w:eastAsia="fr-FR"/>
              </w:rPr>
              <w:t>Year</w:t>
            </w:r>
          </w:p>
        </w:tc>
        <w:tc>
          <w:tcPr>
            <w:tcW w:w="0" w:type="auto"/>
            <w:tcBorders>
              <w:top w:val="single" w:sz="4" w:space="0" w:color="auto"/>
              <w:bottom w:val="single" w:sz="4" w:space="0" w:color="auto"/>
            </w:tcBorders>
            <w:vAlign w:val="center"/>
            <w:hideMark/>
          </w:tcPr>
          <w:p w14:paraId="24926DA8" w14:textId="77777777" w:rsidR="00F962E5" w:rsidRPr="003D4574" w:rsidRDefault="00F962E5" w:rsidP="008A293E">
            <w:pPr>
              <w:spacing w:line="240" w:lineRule="auto"/>
              <w:rPr>
                <w:sz w:val="24"/>
                <w:szCs w:val="24"/>
                <w:lang w:eastAsia="fr-FR"/>
              </w:rPr>
            </w:pPr>
            <w:r w:rsidRPr="003D4574">
              <w:rPr>
                <w:sz w:val="24"/>
                <w:szCs w:val="24"/>
                <w:lang w:eastAsia="fr-FR"/>
              </w:rPr>
              <w:t>Savings (£m)</w:t>
            </w:r>
          </w:p>
        </w:tc>
        <w:tc>
          <w:tcPr>
            <w:tcW w:w="0" w:type="auto"/>
            <w:tcBorders>
              <w:top w:val="single" w:sz="4" w:space="0" w:color="auto"/>
              <w:left w:val="single" w:sz="4" w:space="0" w:color="auto"/>
              <w:bottom w:val="single" w:sz="4" w:space="0" w:color="auto"/>
              <w:right w:val="single" w:sz="4" w:space="0" w:color="auto"/>
            </w:tcBorders>
            <w:vAlign w:val="center"/>
            <w:hideMark/>
          </w:tcPr>
          <w:p w14:paraId="208586EC" w14:textId="77777777" w:rsidR="00F962E5" w:rsidRPr="003D4574" w:rsidRDefault="00F962E5" w:rsidP="008A293E">
            <w:pPr>
              <w:spacing w:line="240" w:lineRule="auto"/>
              <w:rPr>
                <w:sz w:val="24"/>
                <w:szCs w:val="24"/>
                <w:lang w:eastAsia="fr-FR"/>
              </w:rPr>
            </w:pPr>
            <w:r w:rsidRPr="003D4574">
              <w:rPr>
                <w:sz w:val="24"/>
                <w:szCs w:val="24"/>
                <w:lang w:eastAsia="fr-FR"/>
              </w:rPr>
              <w:t>Key Notes</w:t>
            </w:r>
          </w:p>
        </w:tc>
      </w:tr>
      <w:tr w:rsidR="00F962E5" w:rsidRPr="003D4574" w14:paraId="3605B29C" w14:textId="77777777" w:rsidTr="008A293E">
        <w:trPr>
          <w:tblCellSpacing w:w="15" w:type="dxa"/>
        </w:trPr>
        <w:tc>
          <w:tcPr>
            <w:tcW w:w="0" w:type="auto"/>
            <w:tcBorders>
              <w:left w:val="single" w:sz="4" w:space="0" w:color="auto"/>
              <w:bottom w:val="single" w:sz="4" w:space="0" w:color="auto"/>
              <w:right w:val="single" w:sz="4" w:space="0" w:color="auto"/>
            </w:tcBorders>
            <w:vAlign w:val="center"/>
            <w:hideMark/>
          </w:tcPr>
          <w:p w14:paraId="368FF860" w14:textId="77777777" w:rsidR="00F962E5" w:rsidRPr="003D4574" w:rsidRDefault="00F962E5" w:rsidP="008A293E">
            <w:pPr>
              <w:spacing w:line="240" w:lineRule="auto"/>
              <w:rPr>
                <w:sz w:val="24"/>
                <w:szCs w:val="24"/>
                <w:lang w:eastAsia="fr-FR"/>
              </w:rPr>
            </w:pPr>
            <w:r w:rsidRPr="003D4574">
              <w:rPr>
                <w:sz w:val="24"/>
                <w:szCs w:val="24"/>
                <w:lang w:eastAsia="fr-FR"/>
              </w:rPr>
              <w:t>2020</w:t>
            </w:r>
          </w:p>
        </w:tc>
        <w:tc>
          <w:tcPr>
            <w:tcW w:w="0" w:type="auto"/>
            <w:tcBorders>
              <w:bottom w:val="single" w:sz="4" w:space="0" w:color="auto"/>
            </w:tcBorders>
            <w:vAlign w:val="center"/>
            <w:hideMark/>
          </w:tcPr>
          <w:p w14:paraId="4C383F6F" w14:textId="77777777" w:rsidR="00F962E5" w:rsidRPr="003D4574" w:rsidRDefault="00F962E5" w:rsidP="008A293E">
            <w:pPr>
              <w:spacing w:line="240" w:lineRule="auto"/>
              <w:rPr>
                <w:sz w:val="24"/>
                <w:szCs w:val="24"/>
                <w:lang w:eastAsia="fr-FR"/>
              </w:rPr>
            </w:pPr>
            <w:r w:rsidRPr="003D4574">
              <w:rPr>
                <w:sz w:val="24"/>
                <w:szCs w:val="24"/>
                <w:lang w:eastAsia="fr-FR"/>
              </w:rPr>
              <w:t>600</w:t>
            </w:r>
          </w:p>
        </w:tc>
        <w:tc>
          <w:tcPr>
            <w:tcW w:w="0" w:type="auto"/>
            <w:tcBorders>
              <w:left w:val="single" w:sz="4" w:space="0" w:color="auto"/>
              <w:bottom w:val="single" w:sz="4" w:space="0" w:color="auto"/>
              <w:right w:val="single" w:sz="4" w:space="0" w:color="auto"/>
            </w:tcBorders>
            <w:vAlign w:val="center"/>
            <w:hideMark/>
          </w:tcPr>
          <w:p w14:paraId="24E666E2" w14:textId="77777777" w:rsidR="00F962E5" w:rsidRPr="003D4574" w:rsidRDefault="00F962E5" w:rsidP="008A293E">
            <w:pPr>
              <w:spacing w:line="240" w:lineRule="auto"/>
              <w:rPr>
                <w:sz w:val="24"/>
                <w:szCs w:val="24"/>
                <w:lang w:val="en-US" w:eastAsia="fr-FR"/>
              </w:rPr>
            </w:pPr>
            <w:r w:rsidRPr="003D4574">
              <w:rPr>
                <w:sz w:val="24"/>
                <w:szCs w:val="24"/>
                <w:lang w:val="en-US" w:eastAsia="fr-FR"/>
              </w:rPr>
              <w:t>Early efficiencies; toward £1bn target (est. from trend).</w:t>
            </w:r>
          </w:p>
        </w:tc>
      </w:tr>
      <w:tr w:rsidR="00F962E5" w:rsidRPr="003D4574" w14:paraId="2E35D241" w14:textId="77777777" w:rsidTr="008A293E">
        <w:trPr>
          <w:tblCellSpacing w:w="15" w:type="dxa"/>
        </w:trPr>
        <w:tc>
          <w:tcPr>
            <w:tcW w:w="0" w:type="auto"/>
            <w:tcBorders>
              <w:left w:val="single" w:sz="4" w:space="0" w:color="auto"/>
              <w:right w:val="single" w:sz="4" w:space="0" w:color="auto"/>
            </w:tcBorders>
            <w:vAlign w:val="center"/>
            <w:hideMark/>
          </w:tcPr>
          <w:p w14:paraId="13A1E197" w14:textId="77777777" w:rsidR="00F962E5" w:rsidRPr="003D4574" w:rsidRDefault="00F962E5" w:rsidP="008A293E">
            <w:pPr>
              <w:spacing w:line="240" w:lineRule="auto"/>
              <w:rPr>
                <w:sz w:val="24"/>
                <w:szCs w:val="24"/>
                <w:lang w:eastAsia="fr-FR"/>
              </w:rPr>
            </w:pPr>
            <w:r w:rsidRPr="003D4574">
              <w:rPr>
                <w:sz w:val="24"/>
                <w:szCs w:val="24"/>
                <w:lang w:eastAsia="fr-FR"/>
              </w:rPr>
              <w:t>2021</w:t>
            </w:r>
          </w:p>
        </w:tc>
        <w:tc>
          <w:tcPr>
            <w:tcW w:w="0" w:type="auto"/>
            <w:vAlign w:val="center"/>
            <w:hideMark/>
          </w:tcPr>
          <w:p w14:paraId="44582C4E" w14:textId="77777777" w:rsidR="00F962E5" w:rsidRPr="003D4574" w:rsidRDefault="00F962E5" w:rsidP="008A293E">
            <w:pPr>
              <w:spacing w:line="240" w:lineRule="auto"/>
              <w:rPr>
                <w:sz w:val="24"/>
                <w:szCs w:val="24"/>
                <w:lang w:eastAsia="fr-FR"/>
              </w:rPr>
            </w:pPr>
            <w:r w:rsidRPr="003D4574">
              <w:rPr>
                <w:sz w:val="24"/>
                <w:szCs w:val="24"/>
                <w:lang w:eastAsia="fr-FR"/>
              </w:rPr>
              <w:t>800</w:t>
            </w:r>
          </w:p>
        </w:tc>
        <w:tc>
          <w:tcPr>
            <w:tcW w:w="0" w:type="auto"/>
            <w:tcBorders>
              <w:left w:val="single" w:sz="4" w:space="0" w:color="auto"/>
              <w:right w:val="single" w:sz="4" w:space="0" w:color="auto"/>
            </w:tcBorders>
            <w:vAlign w:val="center"/>
            <w:hideMark/>
          </w:tcPr>
          <w:p w14:paraId="05A88CFF" w14:textId="77777777" w:rsidR="00F962E5" w:rsidRPr="003D4574" w:rsidRDefault="00F962E5" w:rsidP="008A293E">
            <w:pPr>
              <w:spacing w:line="240" w:lineRule="auto"/>
              <w:rPr>
                <w:sz w:val="24"/>
                <w:szCs w:val="24"/>
                <w:lang w:val="en-US" w:eastAsia="fr-FR"/>
              </w:rPr>
            </w:pPr>
            <w:r w:rsidRPr="003D4574">
              <w:rPr>
                <w:sz w:val="24"/>
                <w:szCs w:val="24"/>
                <w:lang w:val="en-US" w:eastAsia="fr-FR"/>
              </w:rPr>
              <w:t>Progress to £2bn accelerated target (Annual Report 2021 est.).</w:t>
            </w:r>
          </w:p>
        </w:tc>
      </w:tr>
      <w:tr w:rsidR="00F962E5" w:rsidRPr="003D4574" w14:paraId="38D9014D" w14:textId="77777777" w:rsidTr="008A293E">
        <w:trPr>
          <w:tblCellSpacing w:w="15" w:type="dxa"/>
        </w:trPr>
        <w:tc>
          <w:tcPr>
            <w:tcW w:w="0" w:type="auto"/>
            <w:tcBorders>
              <w:top w:val="single" w:sz="4" w:space="0" w:color="auto"/>
              <w:left w:val="single" w:sz="4" w:space="0" w:color="auto"/>
              <w:right w:val="single" w:sz="4" w:space="0" w:color="auto"/>
            </w:tcBorders>
            <w:vAlign w:val="center"/>
            <w:hideMark/>
          </w:tcPr>
          <w:p w14:paraId="61CFC341" w14:textId="77777777" w:rsidR="00F962E5" w:rsidRPr="003D4574" w:rsidRDefault="00F962E5" w:rsidP="008A293E">
            <w:pPr>
              <w:spacing w:line="240" w:lineRule="auto"/>
              <w:rPr>
                <w:sz w:val="24"/>
                <w:szCs w:val="24"/>
                <w:lang w:eastAsia="fr-FR"/>
              </w:rPr>
            </w:pPr>
            <w:r w:rsidRPr="003D4574">
              <w:rPr>
                <w:sz w:val="24"/>
                <w:szCs w:val="24"/>
                <w:lang w:eastAsia="fr-FR"/>
              </w:rPr>
              <w:t>2022</w:t>
            </w:r>
          </w:p>
        </w:tc>
        <w:tc>
          <w:tcPr>
            <w:tcW w:w="0" w:type="auto"/>
            <w:tcBorders>
              <w:top w:val="single" w:sz="4" w:space="0" w:color="auto"/>
            </w:tcBorders>
            <w:vAlign w:val="center"/>
            <w:hideMark/>
          </w:tcPr>
          <w:p w14:paraId="7A8284ED" w14:textId="77777777" w:rsidR="00F962E5" w:rsidRPr="003D4574" w:rsidRDefault="00F962E5" w:rsidP="008A293E">
            <w:pPr>
              <w:spacing w:line="240" w:lineRule="auto"/>
              <w:rPr>
                <w:sz w:val="24"/>
                <w:szCs w:val="24"/>
                <w:lang w:eastAsia="fr-FR"/>
              </w:rPr>
            </w:pPr>
            <w:r w:rsidRPr="003D4574">
              <w:rPr>
                <w:sz w:val="24"/>
                <w:szCs w:val="24"/>
                <w:lang w:eastAsia="fr-FR"/>
              </w:rPr>
              <w:t>700</w:t>
            </w:r>
          </w:p>
        </w:tc>
        <w:tc>
          <w:tcPr>
            <w:tcW w:w="0" w:type="auto"/>
            <w:tcBorders>
              <w:top w:val="single" w:sz="4" w:space="0" w:color="auto"/>
              <w:left w:val="single" w:sz="4" w:space="0" w:color="auto"/>
              <w:right w:val="single" w:sz="4" w:space="0" w:color="auto"/>
            </w:tcBorders>
            <w:vAlign w:val="center"/>
            <w:hideMark/>
          </w:tcPr>
          <w:p w14:paraId="7C328303" w14:textId="77777777" w:rsidR="00F962E5" w:rsidRPr="003D4574" w:rsidRDefault="00F962E5" w:rsidP="008A293E">
            <w:pPr>
              <w:spacing w:line="240" w:lineRule="auto"/>
              <w:rPr>
                <w:sz w:val="24"/>
                <w:szCs w:val="24"/>
                <w:lang w:val="en-US" w:eastAsia="fr-FR"/>
              </w:rPr>
            </w:pPr>
            <w:r w:rsidRPr="003D4574">
              <w:rPr>
                <w:sz w:val="24"/>
                <w:szCs w:val="24"/>
                <w:lang w:val="en-US" w:eastAsia="fr-FR"/>
              </w:rPr>
              <w:t>£1.5bn cumulative over 2 yrs; £0.3bn cost to achieve (Annual Report 2022, p.20).</w:t>
            </w:r>
          </w:p>
        </w:tc>
      </w:tr>
      <w:tr w:rsidR="00F962E5" w:rsidRPr="003D4574" w14:paraId="3B76FE98" w14:textId="77777777" w:rsidTr="008A293E">
        <w:trPr>
          <w:tblCellSpacing w:w="15" w:type="dxa"/>
        </w:trPr>
        <w:tc>
          <w:tcPr>
            <w:tcW w:w="0" w:type="auto"/>
            <w:tcBorders>
              <w:top w:val="single" w:sz="4" w:space="0" w:color="auto"/>
              <w:left w:val="single" w:sz="4" w:space="0" w:color="auto"/>
              <w:right w:val="single" w:sz="4" w:space="0" w:color="auto"/>
            </w:tcBorders>
            <w:vAlign w:val="center"/>
            <w:hideMark/>
          </w:tcPr>
          <w:p w14:paraId="7813C082" w14:textId="77777777" w:rsidR="00F962E5" w:rsidRPr="003D4574" w:rsidRDefault="00F962E5" w:rsidP="008A293E">
            <w:pPr>
              <w:spacing w:line="240" w:lineRule="auto"/>
              <w:rPr>
                <w:sz w:val="24"/>
                <w:szCs w:val="24"/>
                <w:lang w:eastAsia="fr-FR"/>
              </w:rPr>
            </w:pPr>
            <w:r w:rsidRPr="003D4574">
              <w:rPr>
                <w:sz w:val="24"/>
                <w:szCs w:val="24"/>
                <w:lang w:eastAsia="fr-FR"/>
              </w:rPr>
              <w:t>2023</w:t>
            </w:r>
          </w:p>
        </w:tc>
        <w:tc>
          <w:tcPr>
            <w:tcW w:w="0" w:type="auto"/>
            <w:tcBorders>
              <w:top w:val="single" w:sz="4" w:space="0" w:color="auto"/>
            </w:tcBorders>
            <w:vAlign w:val="center"/>
            <w:hideMark/>
          </w:tcPr>
          <w:p w14:paraId="28CD3DC1" w14:textId="77777777" w:rsidR="00F962E5" w:rsidRPr="003D4574" w:rsidRDefault="00F962E5" w:rsidP="008A293E">
            <w:pPr>
              <w:spacing w:line="240" w:lineRule="auto"/>
              <w:rPr>
                <w:sz w:val="24"/>
                <w:szCs w:val="24"/>
                <w:lang w:eastAsia="fr-FR"/>
              </w:rPr>
            </w:pPr>
            <w:r w:rsidRPr="003D4574">
              <w:rPr>
                <w:sz w:val="24"/>
                <w:szCs w:val="24"/>
                <w:lang w:eastAsia="fr-FR"/>
              </w:rPr>
              <w:t>700</w:t>
            </w:r>
          </w:p>
        </w:tc>
        <w:tc>
          <w:tcPr>
            <w:tcW w:w="0" w:type="auto"/>
            <w:tcBorders>
              <w:top w:val="single" w:sz="4" w:space="0" w:color="auto"/>
              <w:left w:val="single" w:sz="4" w:space="0" w:color="auto"/>
              <w:right w:val="single" w:sz="4" w:space="0" w:color="auto"/>
            </w:tcBorders>
            <w:vAlign w:val="center"/>
            <w:hideMark/>
          </w:tcPr>
          <w:p w14:paraId="64C6D8C6" w14:textId="77777777" w:rsidR="00F962E5" w:rsidRPr="003D4574" w:rsidRDefault="00F962E5" w:rsidP="008A293E">
            <w:pPr>
              <w:spacing w:line="240" w:lineRule="auto"/>
              <w:rPr>
                <w:sz w:val="24"/>
                <w:szCs w:val="24"/>
                <w:lang w:val="en-US" w:eastAsia="fr-FR"/>
              </w:rPr>
            </w:pPr>
            <w:r w:rsidRPr="003D4574">
              <w:rPr>
                <w:sz w:val="24"/>
                <w:szCs w:val="24"/>
                <w:lang w:val="en-US" w:eastAsia="fr-FR"/>
              </w:rPr>
              <w:t>£2.1bn cumulative; toward £3bn by FY25 (Annual Report 2023, p.20).</w:t>
            </w:r>
          </w:p>
        </w:tc>
      </w:tr>
      <w:tr w:rsidR="00F962E5" w:rsidRPr="003D4574" w14:paraId="689D0096" w14:textId="77777777" w:rsidTr="008A293E">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5F11DED0" w14:textId="77777777" w:rsidR="00F962E5" w:rsidRPr="003D4574" w:rsidRDefault="00F962E5" w:rsidP="008A293E">
            <w:pPr>
              <w:spacing w:line="240" w:lineRule="auto"/>
              <w:rPr>
                <w:sz w:val="24"/>
                <w:szCs w:val="24"/>
                <w:lang w:eastAsia="fr-FR"/>
              </w:rPr>
            </w:pPr>
            <w:r w:rsidRPr="003D4574">
              <w:rPr>
                <w:sz w:val="24"/>
                <w:szCs w:val="24"/>
                <w:lang w:eastAsia="fr-FR"/>
              </w:rPr>
              <w:t>2024</w:t>
            </w:r>
          </w:p>
        </w:tc>
        <w:tc>
          <w:tcPr>
            <w:tcW w:w="0" w:type="auto"/>
            <w:tcBorders>
              <w:top w:val="single" w:sz="4" w:space="0" w:color="auto"/>
              <w:bottom w:val="single" w:sz="4" w:space="0" w:color="auto"/>
            </w:tcBorders>
            <w:vAlign w:val="center"/>
            <w:hideMark/>
          </w:tcPr>
          <w:p w14:paraId="4B9DCA59" w14:textId="77777777" w:rsidR="00F962E5" w:rsidRPr="003D4574" w:rsidRDefault="00F962E5" w:rsidP="008A293E">
            <w:pPr>
              <w:spacing w:line="240" w:lineRule="auto"/>
              <w:rPr>
                <w:sz w:val="24"/>
                <w:szCs w:val="24"/>
                <w:lang w:eastAsia="fr-FR"/>
              </w:rPr>
            </w:pPr>
            <w:r w:rsidRPr="003D4574">
              <w:rPr>
                <w:sz w:val="24"/>
                <w:szCs w:val="24"/>
                <w:lang w:eastAsia="fr-FR"/>
              </w:rPr>
              <w:t>842</w:t>
            </w:r>
          </w:p>
        </w:tc>
        <w:tc>
          <w:tcPr>
            <w:tcW w:w="0" w:type="auto"/>
            <w:tcBorders>
              <w:top w:val="single" w:sz="4" w:space="0" w:color="auto"/>
              <w:left w:val="single" w:sz="4" w:space="0" w:color="auto"/>
              <w:bottom w:val="single" w:sz="4" w:space="0" w:color="auto"/>
              <w:right w:val="single" w:sz="4" w:space="0" w:color="auto"/>
            </w:tcBorders>
            <w:vAlign w:val="center"/>
            <w:hideMark/>
          </w:tcPr>
          <w:p w14:paraId="7F688AAD" w14:textId="77777777" w:rsidR="00F962E5" w:rsidRPr="003D4574" w:rsidRDefault="00F962E5" w:rsidP="008A293E">
            <w:pPr>
              <w:spacing w:line="240" w:lineRule="auto"/>
              <w:rPr>
                <w:sz w:val="24"/>
                <w:szCs w:val="24"/>
                <w:lang w:val="en-US" w:eastAsia="fr-FR"/>
              </w:rPr>
            </w:pPr>
            <w:r w:rsidRPr="003D4574">
              <w:rPr>
                <w:sz w:val="24"/>
                <w:szCs w:val="24"/>
                <w:lang w:val="en-US" w:eastAsia="fr-FR"/>
              </w:rPr>
              <w:t>£3bn achieved early; new £3bn by FY29 (Annual Report 2024, p.22).</w:t>
            </w:r>
          </w:p>
        </w:tc>
      </w:tr>
      <w:tr w:rsidR="00F962E5" w:rsidRPr="003D4574" w14:paraId="61121580" w14:textId="77777777" w:rsidTr="008A293E">
        <w:trPr>
          <w:tblCellSpacing w:w="15" w:type="dxa"/>
        </w:trPr>
        <w:tc>
          <w:tcPr>
            <w:tcW w:w="0" w:type="auto"/>
            <w:tcBorders>
              <w:left w:val="single" w:sz="4" w:space="0" w:color="auto"/>
              <w:bottom w:val="single" w:sz="4" w:space="0" w:color="auto"/>
              <w:right w:val="single" w:sz="4" w:space="0" w:color="auto"/>
            </w:tcBorders>
            <w:vAlign w:val="center"/>
            <w:hideMark/>
          </w:tcPr>
          <w:p w14:paraId="6A2C7081" w14:textId="77777777" w:rsidR="00F962E5" w:rsidRPr="003D4574" w:rsidRDefault="00F962E5" w:rsidP="008A293E">
            <w:pPr>
              <w:spacing w:line="240" w:lineRule="auto"/>
              <w:rPr>
                <w:sz w:val="24"/>
                <w:szCs w:val="24"/>
                <w:lang w:eastAsia="fr-FR"/>
              </w:rPr>
            </w:pPr>
            <w:r w:rsidRPr="003D4574">
              <w:rPr>
                <w:sz w:val="24"/>
                <w:szCs w:val="24"/>
                <w:lang w:eastAsia="fr-FR"/>
              </w:rPr>
              <w:t>2025</w:t>
            </w:r>
          </w:p>
        </w:tc>
        <w:tc>
          <w:tcPr>
            <w:tcW w:w="0" w:type="auto"/>
            <w:tcBorders>
              <w:bottom w:val="single" w:sz="4" w:space="0" w:color="auto"/>
            </w:tcBorders>
            <w:vAlign w:val="center"/>
            <w:hideMark/>
          </w:tcPr>
          <w:p w14:paraId="45E4E1ED" w14:textId="77777777" w:rsidR="00F962E5" w:rsidRPr="003D4574" w:rsidRDefault="00F962E5" w:rsidP="008A293E">
            <w:pPr>
              <w:spacing w:line="240" w:lineRule="auto"/>
              <w:rPr>
                <w:sz w:val="24"/>
                <w:szCs w:val="24"/>
                <w:lang w:eastAsia="fr-FR"/>
              </w:rPr>
            </w:pPr>
            <w:r w:rsidRPr="003D4574">
              <w:rPr>
                <w:sz w:val="24"/>
                <w:szCs w:val="24"/>
                <w:lang w:eastAsia="fr-FR"/>
              </w:rPr>
              <w:t>913</w:t>
            </w:r>
          </w:p>
        </w:tc>
        <w:tc>
          <w:tcPr>
            <w:tcW w:w="0" w:type="auto"/>
            <w:tcBorders>
              <w:left w:val="single" w:sz="4" w:space="0" w:color="auto"/>
              <w:bottom w:val="single" w:sz="4" w:space="0" w:color="auto"/>
              <w:right w:val="single" w:sz="4" w:space="0" w:color="auto"/>
            </w:tcBorders>
            <w:vAlign w:val="center"/>
            <w:hideMark/>
          </w:tcPr>
          <w:p w14:paraId="78BC0B80" w14:textId="77777777" w:rsidR="00F962E5" w:rsidRPr="003D4574" w:rsidRDefault="00F962E5" w:rsidP="008A293E">
            <w:pPr>
              <w:spacing w:line="240" w:lineRule="auto"/>
              <w:rPr>
                <w:sz w:val="24"/>
                <w:szCs w:val="24"/>
                <w:lang w:val="en-US" w:eastAsia="fr-FR"/>
              </w:rPr>
            </w:pPr>
            <w:r w:rsidRPr="003D4574">
              <w:rPr>
                <w:sz w:val="24"/>
                <w:szCs w:val="24"/>
                <w:lang w:val="en-US" w:eastAsia="fr-FR"/>
              </w:rPr>
              <w:t xml:space="preserve">34% above </w:t>
            </w:r>
            <w:proofErr w:type="gramStart"/>
            <w:r w:rsidRPr="003D4574">
              <w:rPr>
                <w:sz w:val="24"/>
                <w:szCs w:val="24"/>
                <w:lang w:val="en-US" w:eastAsia="fr-FR"/>
              </w:rPr>
              <w:t>target;</w:t>
            </w:r>
            <w:proofErr w:type="gramEnd"/>
            <w:r w:rsidRPr="003D4574">
              <w:rPr>
                <w:sz w:val="24"/>
                <w:szCs w:val="24"/>
                <w:lang w:val="en-US" w:eastAsia="fr-FR"/>
              </w:rPr>
              <w:t xml:space="preserve"> e.g., £5.93m from network switch-off (Annual Report 2025, p.16).</w:t>
            </w:r>
          </w:p>
        </w:tc>
      </w:tr>
    </w:tbl>
    <w:p w14:paraId="0DCFADD7" w14:textId="77777777" w:rsidR="00F962E5" w:rsidRDefault="00F962E5" w:rsidP="00F962E5">
      <w:pPr>
        <w:spacing w:line="240" w:lineRule="auto"/>
        <w:rPr>
          <w:b/>
          <w:bCs/>
          <w:sz w:val="24"/>
          <w:szCs w:val="24"/>
          <w:lang w:val="en-US" w:eastAsia="fr-FR"/>
        </w:rPr>
      </w:pPr>
    </w:p>
    <w:p w14:paraId="734CB884" w14:textId="77777777" w:rsidR="00F962E5" w:rsidRDefault="00F962E5" w:rsidP="00F962E5">
      <w:pPr>
        <w:spacing w:line="240" w:lineRule="auto"/>
        <w:rPr>
          <w:b/>
          <w:bCs/>
          <w:sz w:val="24"/>
          <w:szCs w:val="24"/>
          <w:lang w:val="en-US" w:eastAsia="fr-FR"/>
        </w:rPr>
      </w:pPr>
      <w:r w:rsidRPr="003D4574">
        <w:rPr>
          <w:b/>
          <w:bCs/>
          <w:sz w:val="24"/>
          <w:szCs w:val="24"/>
          <w:lang w:val="en-US" w:eastAsia="fr-FR"/>
        </w:rPr>
        <w:t>4. Hybrid Work Policy Evolution</w:t>
      </w:r>
    </w:p>
    <w:p w14:paraId="614F8E9F" w14:textId="77777777" w:rsidR="00F962E5" w:rsidRPr="003D4574" w:rsidRDefault="00F962E5" w:rsidP="00F962E5">
      <w:pPr>
        <w:spacing w:line="240" w:lineRule="auto"/>
        <w:rPr>
          <w:b/>
          <w:bCs/>
          <w:sz w:val="24"/>
          <w:szCs w:val="24"/>
          <w:lang w:val="en-US" w:eastAsia="fr-FR"/>
        </w:rPr>
      </w:pPr>
    </w:p>
    <w:p w14:paraId="441F4E8A" w14:textId="77777777" w:rsidR="00F962E5" w:rsidRPr="003D4574" w:rsidRDefault="00F962E5" w:rsidP="00F962E5">
      <w:pPr>
        <w:spacing w:line="240" w:lineRule="auto"/>
        <w:rPr>
          <w:sz w:val="24"/>
          <w:szCs w:val="24"/>
          <w:lang w:val="en-US" w:eastAsia="fr-FR"/>
        </w:rPr>
      </w:pPr>
      <w:r w:rsidRPr="003D4574">
        <w:rPr>
          <w:sz w:val="24"/>
          <w:szCs w:val="24"/>
          <w:lang w:val="en-US" w:eastAsia="fr-FR"/>
        </w:rPr>
        <w:t>No formal policy pre-2023; pandemic-driven flexibility (2020–2022) emphasized safety/belonging. CQ implications: Addressed via inclusive design (e.g., adjustments for disabled/remote workers).</w:t>
      </w:r>
    </w:p>
    <w:p w14:paraId="0014E9BD" w14:textId="77777777" w:rsidR="00F962E5" w:rsidRPr="003D4574" w:rsidRDefault="00F962E5" w:rsidP="00F962E5">
      <w:pPr>
        <w:spacing w:line="240" w:lineRule="auto"/>
        <w:rPr>
          <w:sz w:val="24"/>
          <w:szCs w:val="24"/>
          <w:lang w:val="en-US"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9"/>
        <w:gridCol w:w="4392"/>
        <w:gridCol w:w="4329"/>
      </w:tblGrid>
      <w:tr w:rsidR="00F962E5" w:rsidRPr="003D4574" w14:paraId="3CFBF361" w14:textId="77777777" w:rsidTr="008A293E">
        <w:trPr>
          <w:tblHeader/>
          <w:tblCellSpacing w:w="15" w:type="dxa"/>
        </w:trPr>
        <w:tc>
          <w:tcPr>
            <w:tcW w:w="0" w:type="auto"/>
            <w:tcBorders>
              <w:top w:val="single" w:sz="4" w:space="0" w:color="auto"/>
              <w:left w:val="single" w:sz="4" w:space="0" w:color="auto"/>
              <w:right w:val="single" w:sz="4" w:space="0" w:color="auto"/>
            </w:tcBorders>
            <w:vAlign w:val="center"/>
            <w:hideMark/>
          </w:tcPr>
          <w:p w14:paraId="3D57B6D3" w14:textId="77777777" w:rsidR="00F962E5" w:rsidRPr="003D4574" w:rsidRDefault="00F962E5" w:rsidP="008A293E">
            <w:pPr>
              <w:spacing w:line="240" w:lineRule="auto"/>
              <w:rPr>
                <w:sz w:val="24"/>
                <w:szCs w:val="24"/>
                <w:lang w:eastAsia="fr-FR"/>
              </w:rPr>
            </w:pPr>
            <w:r w:rsidRPr="003D4574">
              <w:rPr>
                <w:sz w:val="24"/>
                <w:szCs w:val="24"/>
                <w:lang w:eastAsia="fr-FR"/>
              </w:rPr>
              <w:t>Year</w:t>
            </w:r>
          </w:p>
        </w:tc>
        <w:tc>
          <w:tcPr>
            <w:tcW w:w="0" w:type="auto"/>
            <w:tcBorders>
              <w:top w:val="single" w:sz="4" w:space="0" w:color="auto"/>
            </w:tcBorders>
            <w:vAlign w:val="center"/>
            <w:hideMark/>
          </w:tcPr>
          <w:p w14:paraId="690D9B36" w14:textId="77777777" w:rsidR="00F962E5" w:rsidRPr="003D4574" w:rsidRDefault="00F962E5" w:rsidP="008A293E">
            <w:pPr>
              <w:spacing w:line="240" w:lineRule="auto"/>
              <w:rPr>
                <w:sz w:val="24"/>
                <w:szCs w:val="24"/>
                <w:lang w:eastAsia="fr-FR"/>
              </w:rPr>
            </w:pPr>
            <w:r w:rsidRPr="003D4574">
              <w:rPr>
                <w:sz w:val="24"/>
                <w:szCs w:val="24"/>
                <w:lang w:eastAsia="fr-FR"/>
              </w:rPr>
              <w:t>Policy/Approach</w:t>
            </w:r>
          </w:p>
        </w:tc>
        <w:tc>
          <w:tcPr>
            <w:tcW w:w="0" w:type="auto"/>
            <w:tcBorders>
              <w:top w:val="single" w:sz="4" w:space="0" w:color="auto"/>
              <w:left w:val="single" w:sz="4" w:space="0" w:color="auto"/>
              <w:right w:val="single" w:sz="4" w:space="0" w:color="auto"/>
            </w:tcBorders>
            <w:vAlign w:val="center"/>
            <w:hideMark/>
          </w:tcPr>
          <w:p w14:paraId="4A0856EF" w14:textId="77777777" w:rsidR="00F962E5" w:rsidRPr="003D4574" w:rsidRDefault="00F962E5" w:rsidP="008A293E">
            <w:pPr>
              <w:spacing w:line="240" w:lineRule="auto"/>
              <w:rPr>
                <w:sz w:val="24"/>
                <w:szCs w:val="24"/>
                <w:lang w:val="en-US" w:eastAsia="fr-FR"/>
              </w:rPr>
            </w:pPr>
            <w:r w:rsidRPr="003D4574">
              <w:rPr>
                <w:sz w:val="24"/>
                <w:szCs w:val="24"/>
                <w:lang w:val="en-US" w:eastAsia="fr-FR"/>
              </w:rPr>
              <w:t>Relevance to CQ/Belonging/Inclusion</w:t>
            </w:r>
          </w:p>
        </w:tc>
      </w:tr>
      <w:tr w:rsidR="00F962E5" w:rsidRPr="003D4574" w14:paraId="52B1F541" w14:textId="77777777" w:rsidTr="008A293E">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8B4A0F0" w14:textId="77777777" w:rsidR="00F962E5" w:rsidRPr="003D4574" w:rsidRDefault="00F962E5" w:rsidP="008A293E">
            <w:pPr>
              <w:spacing w:line="240" w:lineRule="auto"/>
              <w:rPr>
                <w:sz w:val="24"/>
                <w:szCs w:val="24"/>
                <w:lang w:eastAsia="fr-FR"/>
              </w:rPr>
            </w:pPr>
            <w:r w:rsidRPr="003D4574">
              <w:rPr>
                <w:sz w:val="24"/>
                <w:szCs w:val="24"/>
                <w:lang w:eastAsia="fr-FR"/>
              </w:rPr>
              <w:t>2020</w:t>
            </w:r>
          </w:p>
        </w:tc>
        <w:tc>
          <w:tcPr>
            <w:tcW w:w="0" w:type="auto"/>
            <w:tcBorders>
              <w:top w:val="single" w:sz="4" w:space="0" w:color="auto"/>
              <w:bottom w:val="single" w:sz="4" w:space="0" w:color="auto"/>
            </w:tcBorders>
            <w:vAlign w:val="center"/>
            <w:hideMark/>
          </w:tcPr>
          <w:p w14:paraId="348EE2B7" w14:textId="77777777" w:rsidR="00F962E5" w:rsidRPr="003D4574" w:rsidRDefault="00F962E5" w:rsidP="008A293E">
            <w:pPr>
              <w:spacing w:line="240" w:lineRule="auto"/>
              <w:rPr>
                <w:sz w:val="24"/>
                <w:szCs w:val="24"/>
                <w:lang w:val="en-US" w:eastAsia="fr-FR"/>
              </w:rPr>
            </w:pPr>
            <w:r w:rsidRPr="003D4574">
              <w:rPr>
                <w:sz w:val="24"/>
                <w:szCs w:val="24"/>
                <w:lang w:val="en-US" w:eastAsia="fr-FR"/>
              </w:rPr>
              <w:t>Ad-hoc remote (pandemic response); 90% felt safe (Annual Report 2020).</w:t>
            </w:r>
          </w:p>
        </w:tc>
        <w:tc>
          <w:tcPr>
            <w:tcW w:w="0" w:type="auto"/>
            <w:tcBorders>
              <w:top w:val="single" w:sz="4" w:space="0" w:color="auto"/>
              <w:left w:val="single" w:sz="4" w:space="0" w:color="auto"/>
              <w:bottom w:val="single" w:sz="4" w:space="0" w:color="auto"/>
              <w:right w:val="single" w:sz="4" w:space="0" w:color="auto"/>
            </w:tcBorders>
            <w:vAlign w:val="center"/>
            <w:hideMark/>
          </w:tcPr>
          <w:p w14:paraId="689C63EA" w14:textId="77777777" w:rsidR="00F962E5" w:rsidRPr="003D4574" w:rsidRDefault="00F962E5" w:rsidP="008A293E">
            <w:pPr>
              <w:spacing w:line="240" w:lineRule="auto"/>
              <w:rPr>
                <w:sz w:val="24"/>
                <w:szCs w:val="24"/>
                <w:lang w:val="en-US" w:eastAsia="fr-FR"/>
              </w:rPr>
            </w:pPr>
            <w:r w:rsidRPr="003D4574">
              <w:rPr>
                <w:sz w:val="24"/>
                <w:szCs w:val="24"/>
                <w:lang w:val="en-US" w:eastAsia="fr-FR"/>
              </w:rPr>
              <w:t>Early wellbeing focus; no CQ programs.</w:t>
            </w:r>
          </w:p>
        </w:tc>
      </w:tr>
      <w:tr w:rsidR="00F962E5" w:rsidRPr="003D4574" w14:paraId="69C5E46D" w14:textId="77777777" w:rsidTr="008A293E">
        <w:trPr>
          <w:tblCellSpacing w:w="15" w:type="dxa"/>
        </w:trPr>
        <w:tc>
          <w:tcPr>
            <w:tcW w:w="0" w:type="auto"/>
            <w:tcBorders>
              <w:left w:val="single" w:sz="4" w:space="0" w:color="auto"/>
              <w:bottom w:val="single" w:sz="4" w:space="0" w:color="auto"/>
              <w:right w:val="single" w:sz="4" w:space="0" w:color="auto"/>
            </w:tcBorders>
            <w:vAlign w:val="center"/>
            <w:hideMark/>
          </w:tcPr>
          <w:p w14:paraId="101A9203" w14:textId="77777777" w:rsidR="00F962E5" w:rsidRPr="003D4574" w:rsidRDefault="00F962E5" w:rsidP="008A293E">
            <w:pPr>
              <w:spacing w:line="240" w:lineRule="auto"/>
              <w:rPr>
                <w:sz w:val="24"/>
                <w:szCs w:val="24"/>
                <w:lang w:eastAsia="fr-FR"/>
              </w:rPr>
            </w:pPr>
            <w:r w:rsidRPr="003D4574">
              <w:rPr>
                <w:sz w:val="24"/>
                <w:szCs w:val="24"/>
                <w:lang w:eastAsia="fr-FR"/>
              </w:rPr>
              <w:t>2021</w:t>
            </w:r>
          </w:p>
        </w:tc>
        <w:tc>
          <w:tcPr>
            <w:tcW w:w="0" w:type="auto"/>
            <w:tcBorders>
              <w:bottom w:val="single" w:sz="4" w:space="0" w:color="auto"/>
            </w:tcBorders>
            <w:vAlign w:val="center"/>
            <w:hideMark/>
          </w:tcPr>
          <w:p w14:paraId="666036EF" w14:textId="77777777" w:rsidR="00F962E5" w:rsidRPr="003D4574" w:rsidRDefault="00F962E5" w:rsidP="008A293E">
            <w:pPr>
              <w:spacing w:line="240" w:lineRule="auto"/>
              <w:rPr>
                <w:sz w:val="24"/>
                <w:szCs w:val="24"/>
                <w:lang w:val="en-US" w:eastAsia="fr-FR"/>
              </w:rPr>
            </w:pPr>
            <w:r w:rsidRPr="003D4574">
              <w:rPr>
                <w:sz w:val="24"/>
                <w:szCs w:val="24"/>
                <w:lang w:val="en-US" w:eastAsia="fr-FR"/>
              </w:rPr>
              <w:t>Flexible WFH standard; new workspaces piloted.</w:t>
            </w:r>
          </w:p>
        </w:tc>
        <w:tc>
          <w:tcPr>
            <w:tcW w:w="0" w:type="auto"/>
            <w:tcBorders>
              <w:left w:val="single" w:sz="4" w:space="0" w:color="auto"/>
              <w:bottom w:val="single" w:sz="4" w:space="0" w:color="auto"/>
              <w:right w:val="single" w:sz="4" w:space="0" w:color="auto"/>
            </w:tcBorders>
            <w:vAlign w:val="center"/>
            <w:hideMark/>
          </w:tcPr>
          <w:p w14:paraId="1428515C" w14:textId="77777777" w:rsidR="00F962E5" w:rsidRPr="003D4574" w:rsidRDefault="00F962E5" w:rsidP="008A293E">
            <w:pPr>
              <w:spacing w:line="240" w:lineRule="auto"/>
              <w:rPr>
                <w:sz w:val="24"/>
                <w:szCs w:val="24"/>
                <w:lang w:val="en-US" w:eastAsia="fr-FR"/>
              </w:rPr>
            </w:pPr>
            <w:r w:rsidRPr="003D4574">
              <w:rPr>
                <w:sz w:val="24"/>
                <w:szCs w:val="24"/>
                <w:lang w:val="en-US" w:eastAsia="fr-FR"/>
              </w:rPr>
              <w:t>D&amp;I integration via networks; reverse mentoring starts (D&amp;I Report 2020/21).</w:t>
            </w:r>
          </w:p>
        </w:tc>
      </w:tr>
      <w:tr w:rsidR="00F962E5" w:rsidRPr="003D4574" w14:paraId="77E66388" w14:textId="77777777" w:rsidTr="008A293E">
        <w:trPr>
          <w:tblCellSpacing w:w="15" w:type="dxa"/>
        </w:trPr>
        <w:tc>
          <w:tcPr>
            <w:tcW w:w="0" w:type="auto"/>
            <w:tcBorders>
              <w:left w:val="single" w:sz="4" w:space="0" w:color="auto"/>
              <w:right w:val="single" w:sz="4" w:space="0" w:color="auto"/>
            </w:tcBorders>
            <w:vAlign w:val="center"/>
            <w:hideMark/>
          </w:tcPr>
          <w:p w14:paraId="67D917AA" w14:textId="77777777" w:rsidR="00F962E5" w:rsidRPr="003D4574" w:rsidRDefault="00F962E5" w:rsidP="008A293E">
            <w:pPr>
              <w:spacing w:line="240" w:lineRule="auto"/>
              <w:rPr>
                <w:sz w:val="24"/>
                <w:szCs w:val="24"/>
                <w:lang w:eastAsia="fr-FR"/>
              </w:rPr>
            </w:pPr>
            <w:r w:rsidRPr="003D4574">
              <w:rPr>
                <w:sz w:val="24"/>
                <w:szCs w:val="24"/>
                <w:lang w:eastAsia="fr-FR"/>
              </w:rPr>
              <w:t>2022</w:t>
            </w:r>
          </w:p>
        </w:tc>
        <w:tc>
          <w:tcPr>
            <w:tcW w:w="0" w:type="auto"/>
            <w:vAlign w:val="center"/>
            <w:hideMark/>
          </w:tcPr>
          <w:p w14:paraId="0E6DCE72" w14:textId="77777777" w:rsidR="00F962E5" w:rsidRPr="003D4574" w:rsidRDefault="00F962E5" w:rsidP="008A293E">
            <w:pPr>
              <w:spacing w:line="240" w:lineRule="auto"/>
              <w:rPr>
                <w:sz w:val="24"/>
                <w:szCs w:val="24"/>
                <w:lang w:val="en-US" w:eastAsia="fr-FR"/>
              </w:rPr>
            </w:pPr>
            <w:r w:rsidRPr="003D4574">
              <w:rPr>
                <w:sz w:val="24"/>
                <w:szCs w:val="24"/>
                <w:lang w:val="en-US" w:eastAsia="fr-FR"/>
              </w:rPr>
              <w:t>Smart working model; colleague input on return (Annual Report 2022, p.63).</w:t>
            </w:r>
          </w:p>
        </w:tc>
        <w:tc>
          <w:tcPr>
            <w:tcW w:w="0" w:type="auto"/>
            <w:tcBorders>
              <w:left w:val="single" w:sz="4" w:space="0" w:color="auto"/>
              <w:right w:val="single" w:sz="4" w:space="0" w:color="auto"/>
            </w:tcBorders>
            <w:vAlign w:val="center"/>
            <w:hideMark/>
          </w:tcPr>
          <w:p w14:paraId="25959E4B" w14:textId="77777777" w:rsidR="00F962E5" w:rsidRPr="003D4574" w:rsidRDefault="00F962E5" w:rsidP="008A293E">
            <w:pPr>
              <w:spacing w:line="240" w:lineRule="auto"/>
              <w:rPr>
                <w:sz w:val="24"/>
                <w:szCs w:val="24"/>
                <w:lang w:val="en-US" w:eastAsia="fr-FR"/>
              </w:rPr>
            </w:pPr>
            <w:r w:rsidRPr="003D4574">
              <w:rPr>
                <w:sz w:val="24"/>
                <w:szCs w:val="24"/>
                <w:lang w:val="en-US" w:eastAsia="fr-FR"/>
              </w:rPr>
              <w:t>Hybrid feedback via Colleague Board; bias training.</w:t>
            </w:r>
          </w:p>
        </w:tc>
      </w:tr>
      <w:tr w:rsidR="00F962E5" w:rsidRPr="003D4574" w14:paraId="179BD0BA" w14:textId="77777777" w:rsidTr="008A293E">
        <w:trPr>
          <w:tblCellSpacing w:w="15" w:type="dxa"/>
        </w:trPr>
        <w:tc>
          <w:tcPr>
            <w:tcW w:w="0" w:type="auto"/>
            <w:tcBorders>
              <w:top w:val="single" w:sz="4" w:space="0" w:color="auto"/>
              <w:left w:val="single" w:sz="4" w:space="0" w:color="auto"/>
              <w:right w:val="single" w:sz="4" w:space="0" w:color="auto"/>
            </w:tcBorders>
            <w:vAlign w:val="center"/>
            <w:hideMark/>
          </w:tcPr>
          <w:p w14:paraId="5C8552C3" w14:textId="77777777" w:rsidR="00F962E5" w:rsidRPr="003D4574" w:rsidRDefault="00F962E5" w:rsidP="008A293E">
            <w:pPr>
              <w:spacing w:line="240" w:lineRule="auto"/>
              <w:rPr>
                <w:sz w:val="24"/>
                <w:szCs w:val="24"/>
                <w:lang w:eastAsia="fr-FR"/>
              </w:rPr>
            </w:pPr>
            <w:r w:rsidRPr="003D4574">
              <w:rPr>
                <w:sz w:val="24"/>
                <w:szCs w:val="24"/>
                <w:lang w:eastAsia="fr-FR"/>
              </w:rPr>
              <w:t>2023</w:t>
            </w:r>
          </w:p>
        </w:tc>
        <w:tc>
          <w:tcPr>
            <w:tcW w:w="0" w:type="auto"/>
            <w:tcBorders>
              <w:top w:val="single" w:sz="4" w:space="0" w:color="auto"/>
            </w:tcBorders>
            <w:vAlign w:val="center"/>
            <w:hideMark/>
          </w:tcPr>
          <w:p w14:paraId="01C4F483" w14:textId="77777777" w:rsidR="00F962E5" w:rsidRPr="003D4574" w:rsidRDefault="00F962E5" w:rsidP="008A293E">
            <w:pPr>
              <w:spacing w:line="240" w:lineRule="auto"/>
              <w:rPr>
                <w:sz w:val="24"/>
                <w:szCs w:val="24"/>
                <w:lang w:val="en-US" w:eastAsia="fr-FR"/>
              </w:rPr>
            </w:pPr>
            <w:r w:rsidRPr="003D4574">
              <w:rPr>
                <w:sz w:val="24"/>
                <w:szCs w:val="24"/>
                <w:lang w:val="en-US" w:eastAsia="fr-FR"/>
              </w:rPr>
              <w:t>Agile/flexible via modern workspaces (e.g., Bristol Assembly; Annual Report 2023, p.32).</w:t>
            </w:r>
          </w:p>
        </w:tc>
        <w:tc>
          <w:tcPr>
            <w:tcW w:w="0" w:type="auto"/>
            <w:tcBorders>
              <w:top w:val="single" w:sz="4" w:space="0" w:color="auto"/>
              <w:left w:val="single" w:sz="4" w:space="0" w:color="auto"/>
              <w:right w:val="single" w:sz="4" w:space="0" w:color="auto"/>
            </w:tcBorders>
            <w:vAlign w:val="center"/>
            <w:hideMark/>
          </w:tcPr>
          <w:p w14:paraId="7BE4E7C1" w14:textId="77777777" w:rsidR="00F962E5" w:rsidRPr="003D4574" w:rsidRDefault="00F962E5" w:rsidP="008A293E">
            <w:pPr>
              <w:spacing w:line="240" w:lineRule="auto"/>
              <w:rPr>
                <w:sz w:val="24"/>
                <w:szCs w:val="24"/>
                <w:lang w:val="en-US" w:eastAsia="fr-FR"/>
              </w:rPr>
            </w:pPr>
            <w:r w:rsidRPr="003D4574">
              <w:rPr>
                <w:sz w:val="24"/>
                <w:szCs w:val="24"/>
                <w:lang w:val="en-US" w:eastAsia="fr-FR"/>
              </w:rPr>
              <w:t>ISO 45003-aligned tools for psych safety.</w:t>
            </w:r>
          </w:p>
        </w:tc>
      </w:tr>
      <w:tr w:rsidR="00F962E5" w:rsidRPr="003D4574" w14:paraId="720AD49A" w14:textId="77777777" w:rsidTr="008A293E">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FA3327B" w14:textId="77777777" w:rsidR="00F962E5" w:rsidRPr="003D4574" w:rsidRDefault="00F962E5" w:rsidP="008A293E">
            <w:pPr>
              <w:spacing w:line="240" w:lineRule="auto"/>
              <w:rPr>
                <w:sz w:val="24"/>
                <w:szCs w:val="24"/>
                <w:lang w:eastAsia="fr-FR"/>
              </w:rPr>
            </w:pPr>
            <w:r w:rsidRPr="003D4574">
              <w:rPr>
                <w:sz w:val="24"/>
                <w:szCs w:val="24"/>
                <w:lang w:eastAsia="fr-FR"/>
              </w:rPr>
              <w:lastRenderedPageBreak/>
              <w:t>2024</w:t>
            </w:r>
          </w:p>
        </w:tc>
        <w:tc>
          <w:tcPr>
            <w:tcW w:w="0" w:type="auto"/>
            <w:tcBorders>
              <w:top w:val="single" w:sz="4" w:space="0" w:color="auto"/>
              <w:bottom w:val="single" w:sz="4" w:space="0" w:color="auto"/>
            </w:tcBorders>
            <w:vAlign w:val="center"/>
            <w:hideMark/>
          </w:tcPr>
          <w:p w14:paraId="42D47A64" w14:textId="77777777" w:rsidR="00F962E5" w:rsidRPr="003D4574" w:rsidRDefault="00F962E5" w:rsidP="008A293E">
            <w:pPr>
              <w:spacing w:line="240" w:lineRule="auto"/>
              <w:rPr>
                <w:sz w:val="24"/>
                <w:szCs w:val="24"/>
                <w:lang w:val="en-US" w:eastAsia="fr-FR"/>
              </w:rPr>
            </w:pPr>
            <w:r w:rsidRPr="003D4574">
              <w:rPr>
                <w:sz w:val="24"/>
                <w:szCs w:val="24"/>
                <w:lang w:val="en-US" w:eastAsia="fr-FR"/>
              </w:rPr>
              <w:t xml:space="preserve">Better Workplace </w:t>
            </w:r>
            <w:proofErr w:type="gramStart"/>
            <w:r w:rsidRPr="003D4574">
              <w:rPr>
                <w:sz w:val="24"/>
                <w:szCs w:val="24"/>
                <w:lang w:val="en-US" w:eastAsia="fr-FR"/>
              </w:rPr>
              <w:t>Programme;</w:t>
            </w:r>
            <w:proofErr w:type="gramEnd"/>
            <w:r w:rsidRPr="003D4574">
              <w:rPr>
                <w:sz w:val="24"/>
                <w:szCs w:val="24"/>
                <w:lang w:val="en-US" w:eastAsia="fr-FR"/>
              </w:rPr>
              <w:t xml:space="preserve"> 22k relocated, 746 sites closed (Annual Report 2024, p.37).</w:t>
            </w:r>
          </w:p>
        </w:tc>
        <w:tc>
          <w:tcPr>
            <w:tcW w:w="0" w:type="auto"/>
            <w:tcBorders>
              <w:top w:val="single" w:sz="4" w:space="0" w:color="auto"/>
              <w:left w:val="single" w:sz="4" w:space="0" w:color="auto"/>
              <w:bottom w:val="single" w:sz="4" w:space="0" w:color="auto"/>
              <w:right w:val="single" w:sz="4" w:space="0" w:color="auto"/>
            </w:tcBorders>
            <w:vAlign w:val="center"/>
            <w:hideMark/>
          </w:tcPr>
          <w:p w14:paraId="6C6822C5" w14:textId="77777777" w:rsidR="00F962E5" w:rsidRPr="003D4574" w:rsidRDefault="00F962E5" w:rsidP="008A293E">
            <w:pPr>
              <w:spacing w:line="240" w:lineRule="auto"/>
              <w:rPr>
                <w:sz w:val="24"/>
                <w:szCs w:val="24"/>
                <w:lang w:val="en-US" w:eastAsia="fr-FR"/>
              </w:rPr>
            </w:pPr>
            <w:r w:rsidRPr="003D4574">
              <w:rPr>
                <w:sz w:val="24"/>
                <w:szCs w:val="24"/>
                <w:lang w:val="en-US" w:eastAsia="fr-FR"/>
              </w:rPr>
              <w:t>87% enrolled in safety/belonging training (p.30).</w:t>
            </w:r>
          </w:p>
        </w:tc>
      </w:tr>
      <w:tr w:rsidR="00F962E5" w:rsidRPr="003D4574" w14:paraId="079EF1D9" w14:textId="77777777" w:rsidTr="008A293E">
        <w:trPr>
          <w:tblCellSpacing w:w="15" w:type="dxa"/>
        </w:trPr>
        <w:tc>
          <w:tcPr>
            <w:tcW w:w="0" w:type="auto"/>
            <w:tcBorders>
              <w:left w:val="single" w:sz="4" w:space="0" w:color="auto"/>
              <w:bottom w:val="single" w:sz="4" w:space="0" w:color="auto"/>
              <w:right w:val="single" w:sz="4" w:space="0" w:color="auto"/>
            </w:tcBorders>
            <w:vAlign w:val="center"/>
            <w:hideMark/>
          </w:tcPr>
          <w:p w14:paraId="248B0DA9" w14:textId="77777777" w:rsidR="00F962E5" w:rsidRPr="003D4574" w:rsidRDefault="00F962E5" w:rsidP="008A293E">
            <w:pPr>
              <w:spacing w:line="240" w:lineRule="auto"/>
              <w:rPr>
                <w:sz w:val="24"/>
                <w:szCs w:val="24"/>
                <w:lang w:eastAsia="fr-FR"/>
              </w:rPr>
            </w:pPr>
            <w:r w:rsidRPr="003D4574">
              <w:rPr>
                <w:sz w:val="24"/>
                <w:szCs w:val="24"/>
                <w:lang w:eastAsia="fr-FR"/>
              </w:rPr>
              <w:t>2025</w:t>
            </w:r>
          </w:p>
        </w:tc>
        <w:tc>
          <w:tcPr>
            <w:tcW w:w="0" w:type="auto"/>
            <w:tcBorders>
              <w:bottom w:val="single" w:sz="4" w:space="0" w:color="auto"/>
            </w:tcBorders>
            <w:vAlign w:val="center"/>
            <w:hideMark/>
          </w:tcPr>
          <w:p w14:paraId="0597CDA9" w14:textId="77777777" w:rsidR="00F962E5" w:rsidRPr="003D4574" w:rsidRDefault="00F962E5" w:rsidP="008A293E">
            <w:pPr>
              <w:spacing w:line="240" w:lineRule="auto"/>
              <w:rPr>
                <w:sz w:val="24"/>
                <w:szCs w:val="24"/>
                <w:lang w:val="en-US" w:eastAsia="fr-FR"/>
              </w:rPr>
            </w:pPr>
            <w:r w:rsidRPr="003D4574">
              <w:rPr>
                <w:sz w:val="24"/>
                <w:szCs w:val="24"/>
                <w:lang w:val="en-US" w:eastAsia="fr-FR"/>
              </w:rPr>
              <w:t>"Three together, two wherever" (Jan 2025; 3 in-office days for collaboration; Annual Report 2025, p.23).</w:t>
            </w:r>
          </w:p>
        </w:tc>
        <w:tc>
          <w:tcPr>
            <w:tcW w:w="0" w:type="auto"/>
            <w:tcBorders>
              <w:left w:val="single" w:sz="4" w:space="0" w:color="auto"/>
              <w:bottom w:val="single" w:sz="4" w:space="0" w:color="auto"/>
              <w:right w:val="single" w:sz="4" w:space="0" w:color="auto"/>
            </w:tcBorders>
            <w:vAlign w:val="center"/>
            <w:hideMark/>
          </w:tcPr>
          <w:p w14:paraId="2BB987E4" w14:textId="77777777" w:rsidR="00F962E5" w:rsidRPr="003D4574" w:rsidRDefault="00F962E5" w:rsidP="008A293E">
            <w:pPr>
              <w:spacing w:line="240" w:lineRule="auto"/>
              <w:rPr>
                <w:sz w:val="24"/>
                <w:szCs w:val="24"/>
                <w:lang w:val="en-US" w:eastAsia="fr-FR"/>
              </w:rPr>
            </w:pPr>
            <w:r w:rsidRPr="003D4574">
              <w:rPr>
                <w:sz w:val="24"/>
                <w:szCs w:val="24"/>
                <w:lang w:val="en-US" w:eastAsia="fr-FR"/>
              </w:rPr>
              <w:t>Regional flex (e.g., India); 88% completion in inclusive leadership program (p.22).</w:t>
            </w:r>
          </w:p>
        </w:tc>
      </w:tr>
    </w:tbl>
    <w:p w14:paraId="77B0D843" w14:textId="77777777" w:rsidR="00F962E5" w:rsidRDefault="00F962E5" w:rsidP="00F962E5">
      <w:pPr>
        <w:spacing w:line="240" w:lineRule="auto"/>
        <w:rPr>
          <w:b/>
          <w:bCs/>
          <w:sz w:val="24"/>
          <w:szCs w:val="24"/>
          <w:lang w:val="en-US" w:eastAsia="fr-FR"/>
        </w:rPr>
      </w:pPr>
    </w:p>
    <w:p w14:paraId="566578A7" w14:textId="77777777" w:rsidR="00F962E5" w:rsidRDefault="00F962E5" w:rsidP="00F962E5">
      <w:pPr>
        <w:spacing w:line="240" w:lineRule="auto"/>
        <w:rPr>
          <w:b/>
          <w:bCs/>
          <w:sz w:val="24"/>
          <w:szCs w:val="24"/>
          <w:lang w:val="en-US" w:eastAsia="fr-FR"/>
        </w:rPr>
      </w:pPr>
      <w:r w:rsidRPr="003D4574">
        <w:rPr>
          <w:b/>
          <w:bCs/>
          <w:sz w:val="24"/>
          <w:szCs w:val="24"/>
          <w:lang w:val="en-US" w:eastAsia="fr-FR"/>
        </w:rPr>
        <w:t>5. Sense of Belonging and CQ Programs</w:t>
      </w:r>
    </w:p>
    <w:p w14:paraId="0DD27151" w14:textId="77777777" w:rsidR="00F962E5" w:rsidRPr="003D4574" w:rsidRDefault="00F962E5" w:rsidP="00F962E5">
      <w:pPr>
        <w:spacing w:line="240" w:lineRule="auto"/>
        <w:rPr>
          <w:b/>
          <w:bCs/>
          <w:sz w:val="24"/>
          <w:szCs w:val="24"/>
          <w:lang w:val="en-US" w:eastAsia="fr-FR"/>
        </w:rPr>
      </w:pPr>
    </w:p>
    <w:p w14:paraId="5D51F150" w14:textId="77777777" w:rsidR="00F962E5" w:rsidRPr="003D4574" w:rsidRDefault="00F962E5" w:rsidP="00F962E5">
      <w:pPr>
        <w:spacing w:line="240" w:lineRule="auto"/>
        <w:rPr>
          <w:sz w:val="24"/>
          <w:szCs w:val="24"/>
          <w:lang w:val="en-US" w:eastAsia="fr-FR"/>
        </w:rPr>
      </w:pPr>
      <w:r w:rsidRPr="003D4574">
        <w:rPr>
          <w:sz w:val="24"/>
          <w:szCs w:val="24"/>
          <w:lang w:val="en-US" w:eastAsia="fr-FR"/>
        </w:rPr>
        <w:t>Early focus on networks/training (2020–2021); scaled to psych safety from 2023 (ISO 45003 certification). Implications: Reduced bias (e.g., inclusion index gaps closed 4.6% in 2024), higher retention for underrepresented groups.</w:t>
      </w:r>
    </w:p>
    <w:p w14:paraId="2BA36F71" w14:textId="77777777" w:rsidR="00F962E5" w:rsidRPr="003D4574" w:rsidRDefault="00F962E5" w:rsidP="00F962E5">
      <w:pPr>
        <w:spacing w:line="240" w:lineRule="auto"/>
        <w:rPr>
          <w:sz w:val="24"/>
          <w:szCs w:val="24"/>
          <w:lang w:val="en-US"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9"/>
        <w:gridCol w:w="4472"/>
        <w:gridCol w:w="4259"/>
      </w:tblGrid>
      <w:tr w:rsidR="00F962E5" w:rsidRPr="003D4574" w14:paraId="130C5E1E" w14:textId="77777777" w:rsidTr="008A293E">
        <w:trPr>
          <w:tblHeader/>
          <w:tblCellSpacing w:w="15" w:type="dxa"/>
        </w:trPr>
        <w:tc>
          <w:tcPr>
            <w:tcW w:w="0" w:type="auto"/>
            <w:tcBorders>
              <w:top w:val="single" w:sz="4" w:space="0" w:color="auto"/>
              <w:left w:val="single" w:sz="4" w:space="0" w:color="auto"/>
            </w:tcBorders>
            <w:vAlign w:val="center"/>
            <w:hideMark/>
          </w:tcPr>
          <w:p w14:paraId="37F712AD" w14:textId="77777777" w:rsidR="00F962E5" w:rsidRPr="003D4574" w:rsidRDefault="00F962E5" w:rsidP="008A293E">
            <w:pPr>
              <w:spacing w:line="240" w:lineRule="auto"/>
              <w:rPr>
                <w:sz w:val="24"/>
                <w:szCs w:val="24"/>
                <w:lang w:eastAsia="fr-FR"/>
              </w:rPr>
            </w:pPr>
            <w:r w:rsidRPr="003D4574">
              <w:rPr>
                <w:sz w:val="24"/>
                <w:szCs w:val="24"/>
                <w:lang w:eastAsia="fr-FR"/>
              </w:rPr>
              <w:t>Year</w:t>
            </w:r>
          </w:p>
        </w:tc>
        <w:tc>
          <w:tcPr>
            <w:tcW w:w="0" w:type="auto"/>
            <w:tcBorders>
              <w:top w:val="single" w:sz="4" w:space="0" w:color="auto"/>
              <w:left w:val="single" w:sz="4" w:space="0" w:color="auto"/>
              <w:right w:val="single" w:sz="4" w:space="0" w:color="auto"/>
            </w:tcBorders>
            <w:vAlign w:val="center"/>
            <w:hideMark/>
          </w:tcPr>
          <w:p w14:paraId="1C943B69" w14:textId="77777777" w:rsidR="00F962E5" w:rsidRPr="003D4574" w:rsidRDefault="00F962E5" w:rsidP="008A293E">
            <w:pPr>
              <w:spacing w:line="240" w:lineRule="auto"/>
              <w:rPr>
                <w:sz w:val="24"/>
                <w:szCs w:val="24"/>
                <w:lang w:eastAsia="fr-FR"/>
              </w:rPr>
            </w:pPr>
            <w:r w:rsidRPr="003D4574">
              <w:rPr>
                <w:sz w:val="24"/>
                <w:szCs w:val="24"/>
                <w:lang w:eastAsia="fr-FR"/>
              </w:rPr>
              <w:t>Key Programs/Initiatives</w:t>
            </w:r>
          </w:p>
        </w:tc>
        <w:tc>
          <w:tcPr>
            <w:tcW w:w="0" w:type="auto"/>
            <w:tcBorders>
              <w:top w:val="single" w:sz="4" w:space="0" w:color="auto"/>
              <w:right w:val="single" w:sz="4" w:space="0" w:color="auto"/>
            </w:tcBorders>
            <w:vAlign w:val="center"/>
            <w:hideMark/>
          </w:tcPr>
          <w:p w14:paraId="7DB7E656" w14:textId="77777777" w:rsidR="00F962E5" w:rsidRPr="003D4574" w:rsidRDefault="00F962E5" w:rsidP="008A293E">
            <w:pPr>
              <w:spacing w:line="240" w:lineRule="auto"/>
              <w:rPr>
                <w:sz w:val="24"/>
                <w:szCs w:val="24"/>
                <w:lang w:eastAsia="fr-FR"/>
              </w:rPr>
            </w:pPr>
            <w:r w:rsidRPr="003D4574">
              <w:rPr>
                <w:sz w:val="24"/>
                <w:szCs w:val="24"/>
                <w:lang w:eastAsia="fr-FR"/>
              </w:rPr>
              <w:t>Metrics/Outcomes</w:t>
            </w:r>
          </w:p>
        </w:tc>
      </w:tr>
      <w:tr w:rsidR="00F962E5" w:rsidRPr="003D4574" w14:paraId="1B950DC6" w14:textId="77777777" w:rsidTr="008A293E">
        <w:trPr>
          <w:tblCellSpacing w:w="15" w:type="dxa"/>
        </w:trPr>
        <w:tc>
          <w:tcPr>
            <w:tcW w:w="0" w:type="auto"/>
            <w:tcBorders>
              <w:top w:val="single" w:sz="4" w:space="0" w:color="auto"/>
              <w:left w:val="single" w:sz="4" w:space="0" w:color="auto"/>
            </w:tcBorders>
            <w:vAlign w:val="center"/>
            <w:hideMark/>
          </w:tcPr>
          <w:p w14:paraId="5C835587" w14:textId="77777777" w:rsidR="00F962E5" w:rsidRPr="003D4574" w:rsidRDefault="00F962E5" w:rsidP="008A293E">
            <w:pPr>
              <w:spacing w:line="240" w:lineRule="auto"/>
              <w:rPr>
                <w:sz w:val="24"/>
                <w:szCs w:val="24"/>
                <w:lang w:eastAsia="fr-FR"/>
              </w:rPr>
            </w:pPr>
            <w:r w:rsidRPr="003D4574">
              <w:rPr>
                <w:sz w:val="24"/>
                <w:szCs w:val="24"/>
                <w:lang w:eastAsia="fr-FR"/>
              </w:rPr>
              <w:t>2020</w:t>
            </w:r>
          </w:p>
        </w:tc>
        <w:tc>
          <w:tcPr>
            <w:tcW w:w="0" w:type="auto"/>
            <w:tcBorders>
              <w:top w:val="single" w:sz="4" w:space="0" w:color="auto"/>
              <w:left w:val="single" w:sz="4" w:space="0" w:color="auto"/>
              <w:right w:val="single" w:sz="4" w:space="0" w:color="auto"/>
            </w:tcBorders>
            <w:vAlign w:val="center"/>
            <w:hideMark/>
          </w:tcPr>
          <w:p w14:paraId="3574F176" w14:textId="77777777" w:rsidR="00F962E5" w:rsidRPr="003D4574" w:rsidRDefault="00F962E5" w:rsidP="008A293E">
            <w:pPr>
              <w:spacing w:line="240" w:lineRule="auto"/>
              <w:rPr>
                <w:sz w:val="24"/>
                <w:szCs w:val="24"/>
                <w:lang w:val="en-US" w:eastAsia="fr-FR"/>
              </w:rPr>
            </w:pPr>
            <w:r w:rsidRPr="003D4574">
              <w:rPr>
                <w:sz w:val="24"/>
                <w:szCs w:val="24"/>
                <w:lang w:val="en-US" w:eastAsia="fr-FR"/>
              </w:rPr>
              <w:t>10 People Networks launch; anti-racism training (D&amp;I Report 2020/21).</w:t>
            </w:r>
          </w:p>
        </w:tc>
        <w:tc>
          <w:tcPr>
            <w:tcW w:w="0" w:type="auto"/>
            <w:tcBorders>
              <w:top w:val="single" w:sz="4" w:space="0" w:color="auto"/>
              <w:right w:val="single" w:sz="4" w:space="0" w:color="auto"/>
            </w:tcBorders>
            <w:vAlign w:val="center"/>
            <w:hideMark/>
          </w:tcPr>
          <w:p w14:paraId="62601867" w14:textId="77777777" w:rsidR="00F962E5" w:rsidRPr="003D4574" w:rsidRDefault="00F962E5" w:rsidP="008A293E">
            <w:pPr>
              <w:spacing w:line="240" w:lineRule="auto"/>
              <w:rPr>
                <w:sz w:val="24"/>
                <w:szCs w:val="24"/>
                <w:lang w:val="en-US" w:eastAsia="fr-FR"/>
              </w:rPr>
            </w:pPr>
            <w:r w:rsidRPr="003D4574">
              <w:rPr>
                <w:sz w:val="24"/>
                <w:szCs w:val="24"/>
                <w:lang w:val="en-US" w:eastAsia="fr-FR"/>
              </w:rPr>
              <w:t>~5,000 est. members; no enrollment data.</w:t>
            </w:r>
          </w:p>
        </w:tc>
      </w:tr>
      <w:tr w:rsidR="00F962E5" w:rsidRPr="003D4574" w14:paraId="64A86233" w14:textId="77777777" w:rsidTr="008A293E">
        <w:trPr>
          <w:tblCellSpacing w:w="15" w:type="dxa"/>
        </w:trPr>
        <w:tc>
          <w:tcPr>
            <w:tcW w:w="0" w:type="auto"/>
            <w:tcBorders>
              <w:top w:val="single" w:sz="4" w:space="0" w:color="auto"/>
              <w:left w:val="single" w:sz="4" w:space="0" w:color="auto"/>
            </w:tcBorders>
            <w:vAlign w:val="center"/>
            <w:hideMark/>
          </w:tcPr>
          <w:p w14:paraId="403E1D0D" w14:textId="77777777" w:rsidR="00F962E5" w:rsidRPr="003D4574" w:rsidRDefault="00F962E5" w:rsidP="008A293E">
            <w:pPr>
              <w:spacing w:line="240" w:lineRule="auto"/>
              <w:rPr>
                <w:sz w:val="24"/>
                <w:szCs w:val="24"/>
                <w:lang w:eastAsia="fr-FR"/>
              </w:rPr>
            </w:pPr>
            <w:r w:rsidRPr="003D4574">
              <w:rPr>
                <w:sz w:val="24"/>
                <w:szCs w:val="24"/>
                <w:lang w:eastAsia="fr-FR"/>
              </w:rPr>
              <w:t>2021</w:t>
            </w:r>
          </w:p>
        </w:tc>
        <w:tc>
          <w:tcPr>
            <w:tcW w:w="0" w:type="auto"/>
            <w:tcBorders>
              <w:top w:val="single" w:sz="4" w:space="0" w:color="auto"/>
              <w:left w:val="single" w:sz="4" w:space="0" w:color="auto"/>
              <w:right w:val="single" w:sz="4" w:space="0" w:color="auto"/>
            </w:tcBorders>
            <w:vAlign w:val="center"/>
            <w:hideMark/>
          </w:tcPr>
          <w:p w14:paraId="29ED5770" w14:textId="77777777" w:rsidR="00F962E5" w:rsidRPr="003D4574" w:rsidRDefault="00F962E5" w:rsidP="008A293E">
            <w:pPr>
              <w:spacing w:line="240" w:lineRule="auto"/>
              <w:rPr>
                <w:sz w:val="24"/>
                <w:szCs w:val="24"/>
                <w:lang w:val="en-US" w:eastAsia="fr-FR"/>
              </w:rPr>
            </w:pPr>
            <w:r w:rsidRPr="003D4574">
              <w:rPr>
                <w:sz w:val="24"/>
                <w:szCs w:val="24"/>
                <w:lang w:val="en-US" w:eastAsia="fr-FR"/>
              </w:rPr>
              <w:t>ERAP/DRAP; reverse mentoring; inclusive recruitment (unconscious bias training).</w:t>
            </w:r>
          </w:p>
        </w:tc>
        <w:tc>
          <w:tcPr>
            <w:tcW w:w="0" w:type="auto"/>
            <w:tcBorders>
              <w:top w:val="single" w:sz="4" w:space="0" w:color="auto"/>
              <w:right w:val="single" w:sz="4" w:space="0" w:color="auto"/>
            </w:tcBorders>
            <w:vAlign w:val="center"/>
            <w:hideMark/>
          </w:tcPr>
          <w:p w14:paraId="114023C1" w14:textId="77777777" w:rsidR="00F962E5" w:rsidRPr="003D4574" w:rsidRDefault="00F962E5" w:rsidP="008A293E">
            <w:pPr>
              <w:spacing w:line="240" w:lineRule="auto"/>
              <w:rPr>
                <w:sz w:val="24"/>
                <w:szCs w:val="24"/>
                <w:lang w:val="en-US" w:eastAsia="fr-FR"/>
              </w:rPr>
            </w:pPr>
            <w:r w:rsidRPr="003D4574">
              <w:rPr>
                <w:sz w:val="24"/>
                <w:szCs w:val="24"/>
                <w:lang w:val="en-US" w:eastAsia="fr-FR"/>
              </w:rPr>
              <w:t xml:space="preserve">195 new network members; 95% </w:t>
            </w:r>
            <w:proofErr w:type="spellStart"/>
            <w:r w:rsidRPr="003D4574">
              <w:rPr>
                <w:sz w:val="24"/>
                <w:szCs w:val="24"/>
                <w:lang w:val="en-US" w:eastAsia="fr-FR"/>
              </w:rPr>
              <w:t>TechWomen</w:t>
            </w:r>
            <w:proofErr w:type="spellEnd"/>
            <w:r w:rsidRPr="003D4574">
              <w:rPr>
                <w:sz w:val="24"/>
                <w:szCs w:val="24"/>
                <w:lang w:val="en-US" w:eastAsia="fr-FR"/>
              </w:rPr>
              <w:t xml:space="preserve"> completers confident (D&amp;I Report 2020/21).</w:t>
            </w:r>
          </w:p>
        </w:tc>
      </w:tr>
      <w:tr w:rsidR="00F962E5" w:rsidRPr="003D4574" w14:paraId="525C273E" w14:textId="77777777" w:rsidTr="008A293E">
        <w:trPr>
          <w:tblCellSpacing w:w="15" w:type="dxa"/>
        </w:trPr>
        <w:tc>
          <w:tcPr>
            <w:tcW w:w="0" w:type="auto"/>
            <w:tcBorders>
              <w:top w:val="single" w:sz="4" w:space="0" w:color="auto"/>
              <w:left w:val="single" w:sz="4" w:space="0" w:color="auto"/>
            </w:tcBorders>
            <w:vAlign w:val="center"/>
            <w:hideMark/>
          </w:tcPr>
          <w:p w14:paraId="2ACC3C7C" w14:textId="77777777" w:rsidR="00F962E5" w:rsidRPr="003D4574" w:rsidRDefault="00F962E5" w:rsidP="008A293E">
            <w:pPr>
              <w:spacing w:line="240" w:lineRule="auto"/>
              <w:rPr>
                <w:sz w:val="24"/>
                <w:szCs w:val="24"/>
                <w:lang w:eastAsia="fr-FR"/>
              </w:rPr>
            </w:pPr>
            <w:r w:rsidRPr="003D4574">
              <w:rPr>
                <w:sz w:val="24"/>
                <w:szCs w:val="24"/>
                <w:lang w:eastAsia="fr-FR"/>
              </w:rPr>
              <w:t>2022</w:t>
            </w:r>
          </w:p>
        </w:tc>
        <w:tc>
          <w:tcPr>
            <w:tcW w:w="0" w:type="auto"/>
            <w:tcBorders>
              <w:top w:val="single" w:sz="4" w:space="0" w:color="auto"/>
              <w:left w:val="single" w:sz="4" w:space="0" w:color="auto"/>
              <w:right w:val="single" w:sz="4" w:space="0" w:color="auto"/>
            </w:tcBorders>
            <w:vAlign w:val="center"/>
            <w:hideMark/>
          </w:tcPr>
          <w:p w14:paraId="7839217B" w14:textId="77777777" w:rsidR="00F962E5" w:rsidRPr="003D4574" w:rsidRDefault="00F962E5" w:rsidP="008A293E">
            <w:pPr>
              <w:spacing w:line="240" w:lineRule="auto"/>
              <w:rPr>
                <w:sz w:val="24"/>
                <w:szCs w:val="24"/>
                <w:lang w:val="en-US" w:eastAsia="fr-FR"/>
              </w:rPr>
            </w:pPr>
            <w:r w:rsidRPr="003D4574">
              <w:rPr>
                <w:sz w:val="24"/>
                <w:szCs w:val="24"/>
                <w:lang w:val="en-US" w:eastAsia="fr-FR"/>
              </w:rPr>
              <w:t>Mandatory anti-racism; mental health campaigns (3,500+ participants; Annual Report 2022, p.63).</w:t>
            </w:r>
          </w:p>
        </w:tc>
        <w:tc>
          <w:tcPr>
            <w:tcW w:w="0" w:type="auto"/>
            <w:tcBorders>
              <w:top w:val="single" w:sz="4" w:space="0" w:color="auto"/>
              <w:right w:val="single" w:sz="4" w:space="0" w:color="auto"/>
            </w:tcBorders>
            <w:vAlign w:val="center"/>
            <w:hideMark/>
          </w:tcPr>
          <w:p w14:paraId="42C673FA" w14:textId="77777777" w:rsidR="00F962E5" w:rsidRPr="003D4574" w:rsidRDefault="00F962E5" w:rsidP="008A293E">
            <w:pPr>
              <w:spacing w:line="240" w:lineRule="auto"/>
              <w:rPr>
                <w:sz w:val="24"/>
                <w:szCs w:val="24"/>
                <w:lang w:val="en-US" w:eastAsia="fr-FR"/>
              </w:rPr>
            </w:pPr>
            <w:r w:rsidRPr="003D4574">
              <w:rPr>
                <w:sz w:val="24"/>
                <w:szCs w:val="24"/>
                <w:lang w:val="en-US" w:eastAsia="fr-FR"/>
              </w:rPr>
              <w:t>700 managers trained; gender pay gap 6.7%.</w:t>
            </w:r>
          </w:p>
        </w:tc>
      </w:tr>
      <w:tr w:rsidR="00F962E5" w:rsidRPr="003D4574" w14:paraId="6F579B6B" w14:textId="77777777" w:rsidTr="008A293E">
        <w:trPr>
          <w:trHeight w:val="825"/>
          <w:tblCellSpacing w:w="15" w:type="dxa"/>
        </w:trPr>
        <w:tc>
          <w:tcPr>
            <w:tcW w:w="0" w:type="auto"/>
            <w:tcBorders>
              <w:top w:val="single" w:sz="4" w:space="0" w:color="auto"/>
              <w:left w:val="single" w:sz="4" w:space="0" w:color="auto"/>
            </w:tcBorders>
            <w:vAlign w:val="center"/>
            <w:hideMark/>
          </w:tcPr>
          <w:p w14:paraId="345A652B" w14:textId="77777777" w:rsidR="00F962E5" w:rsidRPr="003D4574" w:rsidRDefault="00F962E5" w:rsidP="008A293E">
            <w:pPr>
              <w:spacing w:line="240" w:lineRule="auto"/>
              <w:rPr>
                <w:sz w:val="24"/>
                <w:szCs w:val="24"/>
                <w:lang w:eastAsia="fr-FR"/>
              </w:rPr>
            </w:pPr>
            <w:r w:rsidRPr="003D4574">
              <w:rPr>
                <w:sz w:val="24"/>
                <w:szCs w:val="24"/>
                <w:lang w:eastAsia="fr-FR"/>
              </w:rPr>
              <w:t>2023</w:t>
            </w:r>
          </w:p>
        </w:tc>
        <w:tc>
          <w:tcPr>
            <w:tcW w:w="0" w:type="auto"/>
            <w:tcBorders>
              <w:top w:val="single" w:sz="4" w:space="0" w:color="auto"/>
              <w:left w:val="single" w:sz="4" w:space="0" w:color="auto"/>
              <w:bottom w:val="single" w:sz="4" w:space="0" w:color="auto"/>
              <w:right w:val="single" w:sz="4" w:space="0" w:color="auto"/>
            </w:tcBorders>
            <w:vAlign w:val="center"/>
            <w:hideMark/>
          </w:tcPr>
          <w:p w14:paraId="0AE7EED4" w14:textId="77777777" w:rsidR="00F962E5" w:rsidRPr="003D4574" w:rsidRDefault="00F962E5" w:rsidP="008A293E">
            <w:pPr>
              <w:spacing w:line="240" w:lineRule="auto"/>
              <w:rPr>
                <w:sz w:val="24"/>
                <w:szCs w:val="24"/>
                <w:lang w:val="en-US" w:eastAsia="fr-FR"/>
              </w:rPr>
            </w:pPr>
            <w:r w:rsidRPr="003D4574">
              <w:rPr>
                <w:sz w:val="24"/>
                <w:szCs w:val="24"/>
                <w:lang w:val="en-US" w:eastAsia="fr-FR"/>
              </w:rPr>
              <w:t>Psych risk tool; ISO 45003 alignment; People Networks (7,500 members).</w:t>
            </w:r>
          </w:p>
        </w:tc>
        <w:tc>
          <w:tcPr>
            <w:tcW w:w="0" w:type="auto"/>
            <w:tcBorders>
              <w:top w:val="single" w:sz="4" w:space="0" w:color="auto"/>
              <w:bottom w:val="single" w:sz="4" w:space="0" w:color="auto"/>
              <w:right w:val="single" w:sz="4" w:space="0" w:color="auto"/>
            </w:tcBorders>
            <w:vAlign w:val="center"/>
            <w:hideMark/>
          </w:tcPr>
          <w:p w14:paraId="7EC1E413" w14:textId="77777777" w:rsidR="00F962E5" w:rsidRPr="003D4574" w:rsidRDefault="00F962E5" w:rsidP="008A293E">
            <w:pPr>
              <w:spacing w:line="240" w:lineRule="auto"/>
              <w:rPr>
                <w:sz w:val="24"/>
                <w:szCs w:val="24"/>
                <w:lang w:val="en-US" w:eastAsia="fr-FR"/>
              </w:rPr>
            </w:pPr>
            <w:r w:rsidRPr="003D4574">
              <w:rPr>
                <w:sz w:val="24"/>
                <w:szCs w:val="24"/>
                <w:lang w:val="en-US" w:eastAsia="fr-FR"/>
              </w:rPr>
              <w:t>Mental ill-health cases -19%; top 10% FTSE mental health (Annual Report</w:t>
            </w:r>
            <w:r>
              <w:rPr>
                <w:sz w:val="24"/>
                <w:szCs w:val="24"/>
                <w:lang w:val="en-US" w:eastAsia="fr-FR"/>
              </w:rPr>
              <w:t xml:space="preserve"> </w:t>
            </w:r>
            <w:r w:rsidRPr="003D4574">
              <w:rPr>
                <w:sz w:val="24"/>
                <w:szCs w:val="24"/>
                <w:lang w:val="en-US" w:eastAsia="fr-FR"/>
              </w:rPr>
              <w:t xml:space="preserve">2023, p.35). </w:t>
            </w:r>
          </w:p>
        </w:tc>
      </w:tr>
      <w:tr w:rsidR="00F962E5" w:rsidRPr="003D4574" w14:paraId="5BBAADC1" w14:textId="77777777" w:rsidTr="008A293E">
        <w:trPr>
          <w:tblCellSpacing w:w="15" w:type="dxa"/>
        </w:trPr>
        <w:tc>
          <w:tcPr>
            <w:tcW w:w="0" w:type="auto"/>
            <w:tcBorders>
              <w:top w:val="single" w:sz="4" w:space="0" w:color="auto"/>
              <w:left w:val="single" w:sz="4" w:space="0" w:color="auto"/>
            </w:tcBorders>
            <w:vAlign w:val="center"/>
            <w:hideMark/>
          </w:tcPr>
          <w:p w14:paraId="0EF25514" w14:textId="77777777" w:rsidR="00F962E5" w:rsidRPr="003D4574" w:rsidRDefault="00F962E5" w:rsidP="008A293E">
            <w:pPr>
              <w:spacing w:line="240" w:lineRule="auto"/>
              <w:rPr>
                <w:sz w:val="24"/>
                <w:szCs w:val="24"/>
                <w:lang w:eastAsia="fr-FR"/>
              </w:rPr>
            </w:pPr>
            <w:r w:rsidRPr="003D4574">
              <w:rPr>
                <w:sz w:val="24"/>
                <w:szCs w:val="24"/>
                <w:lang w:eastAsia="fr-FR"/>
              </w:rPr>
              <w:t>2024</w:t>
            </w:r>
          </w:p>
        </w:tc>
        <w:tc>
          <w:tcPr>
            <w:tcW w:w="0" w:type="auto"/>
            <w:tcBorders>
              <w:top w:val="single" w:sz="4" w:space="0" w:color="auto"/>
              <w:left w:val="single" w:sz="4" w:space="0" w:color="auto"/>
            </w:tcBorders>
            <w:vAlign w:val="center"/>
            <w:hideMark/>
          </w:tcPr>
          <w:p w14:paraId="01B6A7D4" w14:textId="77777777" w:rsidR="00F962E5" w:rsidRPr="003D4574" w:rsidRDefault="00F962E5" w:rsidP="008A293E">
            <w:pPr>
              <w:spacing w:line="240" w:lineRule="auto"/>
              <w:rPr>
                <w:sz w:val="24"/>
                <w:szCs w:val="24"/>
                <w:lang w:val="en-US" w:eastAsia="fr-FR"/>
              </w:rPr>
            </w:pPr>
            <w:r w:rsidRPr="003D4574">
              <w:rPr>
                <w:sz w:val="24"/>
                <w:szCs w:val="24"/>
                <w:lang w:val="en-US" w:eastAsia="fr-FR"/>
              </w:rPr>
              <w:t>10-month senior program (psych safety, belonging); "Speak Up" campaign.</w:t>
            </w:r>
          </w:p>
        </w:tc>
        <w:tc>
          <w:tcPr>
            <w:tcW w:w="0" w:type="auto"/>
            <w:tcBorders>
              <w:top w:val="single" w:sz="4" w:space="0" w:color="auto"/>
              <w:left w:val="single" w:sz="4" w:space="0" w:color="auto"/>
              <w:right w:val="single" w:sz="4" w:space="0" w:color="auto"/>
            </w:tcBorders>
            <w:vAlign w:val="center"/>
            <w:hideMark/>
          </w:tcPr>
          <w:p w14:paraId="57510F09" w14:textId="77777777" w:rsidR="00F962E5" w:rsidRPr="003D4574" w:rsidRDefault="00F962E5" w:rsidP="008A293E">
            <w:pPr>
              <w:spacing w:line="240" w:lineRule="auto"/>
              <w:rPr>
                <w:sz w:val="24"/>
                <w:szCs w:val="24"/>
                <w:lang w:val="en-US" w:eastAsia="fr-FR"/>
              </w:rPr>
            </w:pPr>
            <w:r w:rsidRPr="003D4574">
              <w:rPr>
                <w:sz w:val="24"/>
                <w:szCs w:val="24"/>
                <w:lang w:val="en-US" w:eastAsia="fr-FR"/>
              </w:rPr>
              <w:t>87% enrolled; inclusion index gap +4.6% (missed bonus threshold; Annual Report 2024, p.30).</w:t>
            </w:r>
          </w:p>
        </w:tc>
      </w:tr>
      <w:tr w:rsidR="00F962E5" w:rsidRPr="003D4574" w14:paraId="26A52D72" w14:textId="77777777" w:rsidTr="008A293E">
        <w:trPr>
          <w:tblCellSpacing w:w="15" w:type="dxa"/>
        </w:trPr>
        <w:tc>
          <w:tcPr>
            <w:tcW w:w="0" w:type="auto"/>
            <w:tcBorders>
              <w:top w:val="single" w:sz="4" w:space="0" w:color="auto"/>
              <w:left w:val="single" w:sz="4" w:space="0" w:color="auto"/>
              <w:bottom w:val="single" w:sz="4" w:space="0" w:color="auto"/>
            </w:tcBorders>
            <w:vAlign w:val="center"/>
            <w:hideMark/>
          </w:tcPr>
          <w:p w14:paraId="23A89BA8" w14:textId="77777777" w:rsidR="00F962E5" w:rsidRPr="003D4574" w:rsidRDefault="00F962E5" w:rsidP="008A293E">
            <w:pPr>
              <w:spacing w:line="240" w:lineRule="auto"/>
              <w:rPr>
                <w:sz w:val="24"/>
                <w:szCs w:val="24"/>
                <w:lang w:eastAsia="fr-FR"/>
              </w:rPr>
            </w:pPr>
            <w:r w:rsidRPr="003D4574">
              <w:rPr>
                <w:sz w:val="24"/>
                <w:szCs w:val="24"/>
                <w:lang w:eastAsia="fr-FR"/>
              </w:rPr>
              <w:t>2025</w:t>
            </w:r>
          </w:p>
        </w:tc>
        <w:tc>
          <w:tcPr>
            <w:tcW w:w="0" w:type="auto"/>
            <w:tcBorders>
              <w:top w:val="single" w:sz="4" w:space="0" w:color="auto"/>
              <w:left w:val="single" w:sz="4" w:space="0" w:color="auto"/>
              <w:bottom w:val="single" w:sz="4" w:space="0" w:color="auto"/>
            </w:tcBorders>
            <w:vAlign w:val="center"/>
            <w:hideMark/>
          </w:tcPr>
          <w:p w14:paraId="16684E01" w14:textId="77777777" w:rsidR="00F962E5" w:rsidRPr="003D4574" w:rsidRDefault="00F962E5" w:rsidP="008A293E">
            <w:pPr>
              <w:spacing w:line="240" w:lineRule="auto"/>
              <w:rPr>
                <w:sz w:val="24"/>
                <w:szCs w:val="24"/>
                <w:lang w:val="en-US" w:eastAsia="fr-FR"/>
              </w:rPr>
            </w:pPr>
            <w:r w:rsidRPr="003D4574">
              <w:rPr>
                <w:sz w:val="24"/>
                <w:szCs w:val="24"/>
                <w:lang w:val="en-US" w:eastAsia="fr-FR"/>
              </w:rPr>
              <w:t>Senior program continuation; bias removal in decisions; wellbeing portal.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3A854B43" w14:textId="77777777" w:rsidR="00F962E5" w:rsidRPr="003D4574" w:rsidRDefault="00F962E5" w:rsidP="008A293E">
            <w:pPr>
              <w:spacing w:line="240" w:lineRule="auto"/>
              <w:rPr>
                <w:sz w:val="24"/>
                <w:szCs w:val="24"/>
                <w:lang w:val="en-US" w:eastAsia="fr-FR"/>
              </w:rPr>
            </w:pPr>
            <w:r w:rsidRPr="003D4574">
              <w:rPr>
                <w:sz w:val="24"/>
                <w:szCs w:val="24"/>
                <w:lang w:val="en-US" w:eastAsia="fr-FR"/>
              </w:rPr>
              <w:t>88% completed (485/157); 82% positive belonging (Annual Report 2025, p.22).</w:t>
            </w:r>
          </w:p>
        </w:tc>
      </w:tr>
    </w:tbl>
    <w:p w14:paraId="29CD3BAB" w14:textId="77777777" w:rsidR="00F962E5" w:rsidRPr="003D4574" w:rsidRDefault="00F962E5" w:rsidP="00F962E5">
      <w:pPr>
        <w:spacing w:line="240" w:lineRule="auto"/>
        <w:rPr>
          <w:b/>
          <w:bCs/>
          <w:sz w:val="24"/>
          <w:szCs w:val="24"/>
          <w:lang w:val="en-US" w:eastAsia="fr-FR"/>
        </w:rPr>
      </w:pPr>
    </w:p>
    <w:p w14:paraId="4176CD03" w14:textId="77777777" w:rsidR="00F962E5" w:rsidRPr="003D4574" w:rsidRDefault="00F962E5" w:rsidP="00F962E5">
      <w:pPr>
        <w:spacing w:line="240" w:lineRule="auto"/>
        <w:rPr>
          <w:sz w:val="24"/>
          <w:szCs w:val="24"/>
          <w:lang w:eastAsia="fr-FR"/>
        </w:rPr>
      </w:pPr>
    </w:p>
    <w:p w14:paraId="05A3C748" w14:textId="77777777" w:rsidR="00F962E5" w:rsidRDefault="00F962E5" w:rsidP="00F962E5">
      <w:pPr>
        <w:spacing w:line="240" w:lineRule="auto"/>
        <w:rPr>
          <w:b/>
          <w:bCs/>
          <w:sz w:val="24"/>
          <w:szCs w:val="24"/>
          <w:lang w:eastAsia="fr-FR"/>
        </w:rPr>
      </w:pPr>
      <w:r w:rsidRPr="003D4574">
        <w:rPr>
          <w:b/>
          <w:bCs/>
          <w:sz w:val="24"/>
          <w:szCs w:val="24"/>
          <w:lang w:eastAsia="fr-FR"/>
        </w:rPr>
        <w:t>A5. Theoretical and Secondary Literature</w:t>
      </w:r>
    </w:p>
    <w:p w14:paraId="7720CACD" w14:textId="77777777" w:rsidR="00F962E5" w:rsidRPr="003D4574" w:rsidRDefault="00F962E5" w:rsidP="00F962E5">
      <w:pPr>
        <w:spacing w:line="240" w:lineRule="auto"/>
        <w:rPr>
          <w:b/>
          <w:bCs/>
          <w:sz w:val="24"/>
          <w:szCs w:val="24"/>
          <w:lang w:eastAsia="fr-FR"/>
        </w:rPr>
      </w:pPr>
    </w:p>
    <w:p w14:paraId="40111CC6" w14:textId="77777777" w:rsidR="00F962E5" w:rsidRPr="003D4574" w:rsidRDefault="00F962E5" w:rsidP="00F962E5">
      <w:pPr>
        <w:numPr>
          <w:ilvl w:val="0"/>
          <w:numId w:val="3"/>
        </w:numPr>
        <w:spacing w:after="160" w:line="240" w:lineRule="auto"/>
        <w:rPr>
          <w:sz w:val="24"/>
          <w:szCs w:val="24"/>
          <w:lang w:eastAsia="fr-FR"/>
        </w:rPr>
      </w:pPr>
      <w:r w:rsidRPr="003D4574">
        <w:rPr>
          <w:b/>
          <w:bCs/>
          <w:sz w:val="24"/>
          <w:szCs w:val="24"/>
          <w:lang w:val="en-US" w:eastAsia="fr-FR"/>
        </w:rPr>
        <w:t>A5.1 Earley, P.C. &amp; Ang, S. (2003).</w:t>
      </w:r>
      <w:r w:rsidRPr="003D4574">
        <w:rPr>
          <w:sz w:val="24"/>
          <w:szCs w:val="24"/>
          <w:lang w:val="en-US" w:eastAsia="fr-FR"/>
        </w:rPr>
        <w:t xml:space="preserve"> </w:t>
      </w:r>
      <w:r w:rsidRPr="003D4574">
        <w:rPr>
          <w:i/>
          <w:iCs/>
          <w:sz w:val="24"/>
          <w:szCs w:val="24"/>
          <w:lang w:eastAsia="fr-FR"/>
        </w:rPr>
        <w:t>Cultural Intelligence: Individual Interactions Across Cultures.</w:t>
      </w:r>
    </w:p>
    <w:p w14:paraId="6B89ACF9" w14:textId="77777777" w:rsidR="00F962E5" w:rsidRPr="003D4574" w:rsidRDefault="00F962E5" w:rsidP="00F962E5">
      <w:pPr>
        <w:numPr>
          <w:ilvl w:val="0"/>
          <w:numId w:val="3"/>
        </w:numPr>
        <w:spacing w:after="160" w:line="240" w:lineRule="auto"/>
        <w:rPr>
          <w:sz w:val="24"/>
          <w:szCs w:val="24"/>
          <w:lang w:val="en-US" w:eastAsia="fr-FR"/>
        </w:rPr>
      </w:pPr>
      <w:r w:rsidRPr="003D4574">
        <w:rPr>
          <w:b/>
          <w:bCs/>
          <w:sz w:val="24"/>
          <w:szCs w:val="24"/>
          <w:lang w:val="en-US" w:eastAsia="fr-FR"/>
        </w:rPr>
        <w:t>A5.2 Ang, S. et al. (2007).</w:t>
      </w:r>
      <w:r w:rsidRPr="003D4574">
        <w:rPr>
          <w:sz w:val="24"/>
          <w:szCs w:val="24"/>
          <w:lang w:val="en-US" w:eastAsia="fr-FR"/>
        </w:rPr>
        <w:t xml:space="preserve"> “Cultural Intelligence: Its Measurement and Effects on Cultural Judgment and Decision Making.”</w:t>
      </w:r>
    </w:p>
    <w:p w14:paraId="1BBDAC85" w14:textId="77777777" w:rsidR="00F962E5" w:rsidRPr="003D4574" w:rsidRDefault="00F962E5" w:rsidP="00F962E5">
      <w:pPr>
        <w:numPr>
          <w:ilvl w:val="0"/>
          <w:numId w:val="3"/>
        </w:numPr>
        <w:spacing w:after="160" w:line="240" w:lineRule="auto"/>
        <w:rPr>
          <w:sz w:val="24"/>
          <w:szCs w:val="24"/>
          <w:lang w:eastAsia="fr-FR"/>
        </w:rPr>
      </w:pPr>
      <w:r w:rsidRPr="003D4574">
        <w:rPr>
          <w:b/>
          <w:bCs/>
          <w:sz w:val="24"/>
          <w:szCs w:val="24"/>
          <w:lang w:eastAsia="fr-FR"/>
        </w:rPr>
        <w:t>A5.3 Thomas, D.C. et al. (2008).</w:t>
      </w:r>
      <w:r w:rsidRPr="003D4574">
        <w:rPr>
          <w:sz w:val="24"/>
          <w:szCs w:val="24"/>
          <w:lang w:eastAsia="fr-FR"/>
        </w:rPr>
        <w:t xml:space="preserve"> “Cultural Intelligence: Domain and Assessment.”</w:t>
      </w:r>
    </w:p>
    <w:p w14:paraId="569018B2" w14:textId="77777777" w:rsidR="00F962E5" w:rsidRPr="003D4574" w:rsidRDefault="00F962E5" w:rsidP="00F962E5">
      <w:pPr>
        <w:numPr>
          <w:ilvl w:val="0"/>
          <w:numId w:val="3"/>
        </w:numPr>
        <w:spacing w:after="160" w:line="240" w:lineRule="auto"/>
        <w:rPr>
          <w:sz w:val="24"/>
          <w:szCs w:val="24"/>
          <w:lang w:val="en-US" w:eastAsia="fr-FR"/>
        </w:rPr>
      </w:pPr>
      <w:r w:rsidRPr="003D4574">
        <w:rPr>
          <w:b/>
          <w:bCs/>
          <w:sz w:val="24"/>
          <w:szCs w:val="24"/>
          <w:lang w:val="en-US" w:eastAsia="fr-FR"/>
        </w:rPr>
        <w:lastRenderedPageBreak/>
        <w:t>A5.4 Shore, L.M. et al. (2011).</w:t>
      </w:r>
      <w:r w:rsidRPr="003D4574">
        <w:rPr>
          <w:sz w:val="24"/>
          <w:szCs w:val="24"/>
          <w:lang w:val="en-US" w:eastAsia="fr-FR"/>
        </w:rPr>
        <w:t xml:space="preserve"> “Inclusion and Diversity in Work Groups.”</w:t>
      </w:r>
    </w:p>
    <w:p w14:paraId="71104F36" w14:textId="77777777" w:rsidR="00F962E5" w:rsidRPr="003D4574" w:rsidRDefault="00F962E5" w:rsidP="00F962E5">
      <w:pPr>
        <w:numPr>
          <w:ilvl w:val="0"/>
          <w:numId w:val="3"/>
        </w:numPr>
        <w:spacing w:after="160" w:line="240" w:lineRule="auto"/>
        <w:rPr>
          <w:sz w:val="24"/>
          <w:szCs w:val="24"/>
          <w:lang w:eastAsia="fr-FR"/>
        </w:rPr>
      </w:pPr>
      <w:r w:rsidRPr="003D4574">
        <w:rPr>
          <w:b/>
          <w:bCs/>
          <w:sz w:val="24"/>
          <w:szCs w:val="24"/>
          <w:lang w:val="en-US" w:eastAsia="fr-FR"/>
        </w:rPr>
        <w:t>A5.5 Baumeister, R.F. &amp; Leary, M.R. (1995).</w:t>
      </w:r>
      <w:r w:rsidRPr="003D4574">
        <w:rPr>
          <w:sz w:val="24"/>
          <w:szCs w:val="24"/>
          <w:lang w:val="en-US" w:eastAsia="fr-FR"/>
        </w:rPr>
        <w:t xml:space="preserve"> </w:t>
      </w:r>
      <w:r w:rsidRPr="003D4574">
        <w:rPr>
          <w:sz w:val="24"/>
          <w:szCs w:val="24"/>
          <w:lang w:eastAsia="fr-FR"/>
        </w:rPr>
        <w:t>“The Need to Belong.”</w:t>
      </w:r>
    </w:p>
    <w:p w14:paraId="19BBAFB3" w14:textId="77777777" w:rsidR="00F962E5" w:rsidRPr="003D4574" w:rsidRDefault="00F962E5" w:rsidP="00F962E5">
      <w:pPr>
        <w:numPr>
          <w:ilvl w:val="0"/>
          <w:numId w:val="3"/>
        </w:numPr>
        <w:spacing w:after="160" w:line="240" w:lineRule="auto"/>
        <w:rPr>
          <w:sz w:val="24"/>
          <w:szCs w:val="24"/>
          <w:lang w:val="en-US" w:eastAsia="fr-FR"/>
        </w:rPr>
      </w:pPr>
      <w:r w:rsidRPr="003D4574">
        <w:rPr>
          <w:b/>
          <w:bCs/>
          <w:sz w:val="24"/>
          <w:szCs w:val="24"/>
          <w:lang w:eastAsia="fr-FR"/>
        </w:rPr>
        <w:t xml:space="preserve">A5.6 Van Dyne, L. et al. </w:t>
      </w:r>
      <w:r w:rsidRPr="003D4574">
        <w:rPr>
          <w:b/>
          <w:bCs/>
          <w:sz w:val="24"/>
          <w:szCs w:val="24"/>
          <w:lang w:val="en-US" w:eastAsia="fr-FR"/>
        </w:rPr>
        <w:t>(2012).</w:t>
      </w:r>
      <w:r w:rsidRPr="003D4574">
        <w:rPr>
          <w:sz w:val="24"/>
          <w:szCs w:val="24"/>
          <w:lang w:val="en-US" w:eastAsia="fr-FR"/>
        </w:rPr>
        <w:t xml:space="preserve"> “Cultural Intelligence and Organizational Effectiveness.”</w:t>
      </w:r>
    </w:p>
    <w:p w14:paraId="50501ADA" w14:textId="77777777" w:rsidR="00F962E5" w:rsidRPr="003D4574" w:rsidRDefault="00F962E5" w:rsidP="00F962E5">
      <w:pPr>
        <w:numPr>
          <w:ilvl w:val="0"/>
          <w:numId w:val="3"/>
        </w:numPr>
        <w:spacing w:after="160" w:line="240" w:lineRule="auto"/>
        <w:rPr>
          <w:sz w:val="24"/>
          <w:szCs w:val="24"/>
          <w:lang w:val="en-US" w:eastAsia="fr-FR"/>
        </w:rPr>
      </w:pPr>
      <w:r w:rsidRPr="003D4574">
        <w:rPr>
          <w:b/>
          <w:bCs/>
          <w:sz w:val="24"/>
          <w:szCs w:val="24"/>
          <w:lang w:eastAsia="fr-FR"/>
        </w:rPr>
        <w:t xml:space="preserve">A5.7 Liao, H. et al. </w:t>
      </w:r>
      <w:r w:rsidRPr="003D4574">
        <w:rPr>
          <w:b/>
          <w:bCs/>
          <w:sz w:val="24"/>
          <w:szCs w:val="24"/>
          <w:lang w:val="en-US" w:eastAsia="fr-FR"/>
        </w:rPr>
        <w:t>(2022).</w:t>
      </w:r>
      <w:r w:rsidRPr="003D4574">
        <w:rPr>
          <w:sz w:val="24"/>
          <w:szCs w:val="24"/>
          <w:lang w:val="en-US" w:eastAsia="fr-FR"/>
        </w:rPr>
        <w:t xml:space="preserve"> “CQ in Virtual and Hybrid Work Contexts.”</w:t>
      </w:r>
    </w:p>
    <w:p w14:paraId="2C22F935" w14:textId="77777777" w:rsidR="00F962E5" w:rsidRPr="003D4574" w:rsidRDefault="00F962E5" w:rsidP="00F962E5">
      <w:pPr>
        <w:numPr>
          <w:ilvl w:val="0"/>
          <w:numId w:val="3"/>
        </w:numPr>
        <w:spacing w:after="160" w:line="240" w:lineRule="auto"/>
        <w:rPr>
          <w:sz w:val="24"/>
          <w:szCs w:val="24"/>
          <w:lang w:val="en-US" w:eastAsia="fr-FR"/>
        </w:rPr>
      </w:pPr>
      <w:r w:rsidRPr="003D4574">
        <w:rPr>
          <w:b/>
          <w:bCs/>
          <w:sz w:val="24"/>
          <w:szCs w:val="24"/>
          <w:lang w:eastAsia="fr-FR"/>
        </w:rPr>
        <w:t xml:space="preserve">A5.8 Kniffin, K.M. et al. </w:t>
      </w:r>
      <w:r w:rsidRPr="003D4574">
        <w:rPr>
          <w:b/>
          <w:bCs/>
          <w:sz w:val="24"/>
          <w:szCs w:val="24"/>
          <w:lang w:val="en-US" w:eastAsia="fr-FR"/>
        </w:rPr>
        <w:t>(2021).</w:t>
      </w:r>
      <w:r w:rsidRPr="003D4574">
        <w:rPr>
          <w:sz w:val="24"/>
          <w:szCs w:val="24"/>
          <w:lang w:val="en-US" w:eastAsia="fr-FR"/>
        </w:rPr>
        <w:t xml:space="preserve"> “COVID</w:t>
      </w:r>
      <w:r w:rsidRPr="003D4574">
        <w:rPr>
          <w:sz w:val="24"/>
          <w:szCs w:val="24"/>
          <w:lang w:val="en-US" w:eastAsia="fr-FR"/>
        </w:rPr>
        <w:noBreakHyphen/>
        <w:t>19 and the Workplace: Implications for Hybrid Work.”</w:t>
      </w:r>
    </w:p>
    <w:p w14:paraId="54BF4231" w14:textId="77777777" w:rsidR="00F962E5" w:rsidRPr="003D4574" w:rsidRDefault="00F962E5" w:rsidP="00F962E5">
      <w:pPr>
        <w:numPr>
          <w:ilvl w:val="0"/>
          <w:numId w:val="3"/>
        </w:numPr>
        <w:spacing w:after="160" w:line="240" w:lineRule="auto"/>
        <w:rPr>
          <w:sz w:val="24"/>
          <w:szCs w:val="24"/>
          <w:lang w:val="en-US" w:eastAsia="fr-FR"/>
        </w:rPr>
      </w:pPr>
      <w:r w:rsidRPr="003D4574">
        <w:rPr>
          <w:b/>
          <w:bCs/>
          <w:sz w:val="24"/>
          <w:szCs w:val="24"/>
          <w:lang w:val="en-US" w:eastAsia="fr-FR"/>
        </w:rPr>
        <w:t>A5.9 Gratton, L. (2021).</w:t>
      </w:r>
      <w:r w:rsidRPr="003D4574">
        <w:rPr>
          <w:sz w:val="24"/>
          <w:szCs w:val="24"/>
          <w:lang w:val="en-US" w:eastAsia="fr-FR"/>
        </w:rPr>
        <w:t xml:space="preserve"> </w:t>
      </w:r>
      <w:r w:rsidRPr="003D4574">
        <w:rPr>
          <w:i/>
          <w:iCs/>
          <w:sz w:val="24"/>
          <w:szCs w:val="24"/>
          <w:lang w:val="en-US" w:eastAsia="fr-FR"/>
        </w:rPr>
        <w:t>Redesigning Work.</w:t>
      </w:r>
    </w:p>
    <w:p w14:paraId="485B26C5" w14:textId="77777777" w:rsidR="00F962E5" w:rsidRPr="003D4574" w:rsidRDefault="00F962E5" w:rsidP="00F962E5">
      <w:pPr>
        <w:numPr>
          <w:ilvl w:val="0"/>
          <w:numId w:val="3"/>
        </w:numPr>
        <w:spacing w:after="160" w:line="240" w:lineRule="auto"/>
        <w:rPr>
          <w:sz w:val="24"/>
          <w:szCs w:val="24"/>
          <w:lang w:val="en-US" w:eastAsia="fr-FR"/>
        </w:rPr>
      </w:pPr>
      <w:r w:rsidRPr="003D4574">
        <w:rPr>
          <w:b/>
          <w:bCs/>
          <w:sz w:val="24"/>
          <w:szCs w:val="24"/>
          <w:lang w:val="en-US" w:eastAsia="fr-FR"/>
        </w:rPr>
        <w:t>A5.10 CIPD (2025).</w:t>
      </w:r>
      <w:r w:rsidRPr="003D4574">
        <w:rPr>
          <w:sz w:val="24"/>
          <w:szCs w:val="24"/>
          <w:lang w:val="en-US" w:eastAsia="fr-FR"/>
        </w:rPr>
        <w:t xml:space="preserve"> </w:t>
      </w:r>
      <w:r w:rsidRPr="003D4574">
        <w:rPr>
          <w:i/>
          <w:iCs/>
          <w:sz w:val="24"/>
          <w:szCs w:val="24"/>
          <w:lang w:val="en-US" w:eastAsia="fr-FR"/>
        </w:rPr>
        <w:t>Hybrid Work and Belonging Debt Report.</w:t>
      </w:r>
    </w:p>
    <w:p w14:paraId="6BEB2CA7" w14:textId="77777777" w:rsidR="00F962E5" w:rsidRPr="003D4574" w:rsidRDefault="00F962E5" w:rsidP="00F962E5">
      <w:pPr>
        <w:numPr>
          <w:ilvl w:val="0"/>
          <w:numId w:val="3"/>
        </w:numPr>
        <w:spacing w:after="160" w:line="240" w:lineRule="auto"/>
        <w:rPr>
          <w:sz w:val="24"/>
          <w:szCs w:val="24"/>
          <w:lang w:val="en-US" w:eastAsia="fr-FR"/>
        </w:rPr>
      </w:pPr>
      <w:r w:rsidRPr="003D4574">
        <w:rPr>
          <w:b/>
          <w:bCs/>
          <w:sz w:val="24"/>
          <w:szCs w:val="24"/>
          <w:lang w:val="en-US" w:eastAsia="fr-FR"/>
        </w:rPr>
        <w:t>A5.11 Gallup (2025).</w:t>
      </w:r>
      <w:r w:rsidRPr="003D4574">
        <w:rPr>
          <w:sz w:val="24"/>
          <w:szCs w:val="24"/>
          <w:lang w:val="en-US" w:eastAsia="fr-FR"/>
        </w:rPr>
        <w:t xml:space="preserve"> </w:t>
      </w:r>
      <w:r w:rsidRPr="003D4574">
        <w:rPr>
          <w:i/>
          <w:iCs/>
          <w:sz w:val="24"/>
          <w:szCs w:val="24"/>
          <w:lang w:val="en-US" w:eastAsia="fr-FR"/>
        </w:rPr>
        <w:t>Employee Engagement in Hybrid Models.</w:t>
      </w:r>
    </w:p>
    <w:p w14:paraId="381D01BF" w14:textId="77777777" w:rsidR="00F962E5" w:rsidRPr="003D4574" w:rsidRDefault="00F962E5" w:rsidP="00F962E5">
      <w:pPr>
        <w:spacing w:line="240" w:lineRule="auto"/>
        <w:rPr>
          <w:sz w:val="24"/>
          <w:szCs w:val="24"/>
          <w:lang w:eastAsia="fr-FR"/>
        </w:rPr>
      </w:pPr>
    </w:p>
    <w:p w14:paraId="4BD8D8A0" w14:textId="77777777" w:rsidR="00F962E5" w:rsidRDefault="00F962E5" w:rsidP="00F962E5">
      <w:pPr>
        <w:spacing w:line="240" w:lineRule="auto"/>
        <w:rPr>
          <w:b/>
          <w:bCs/>
          <w:sz w:val="24"/>
          <w:szCs w:val="24"/>
          <w:lang w:eastAsia="fr-FR"/>
        </w:rPr>
      </w:pPr>
      <w:r w:rsidRPr="003D4574">
        <w:rPr>
          <w:b/>
          <w:bCs/>
          <w:sz w:val="24"/>
          <w:szCs w:val="24"/>
          <w:lang w:eastAsia="fr-FR"/>
        </w:rPr>
        <w:t>A6. Supplementary Data Sources</w:t>
      </w:r>
    </w:p>
    <w:p w14:paraId="58FB3C9A" w14:textId="77777777" w:rsidR="00F962E5" w:rsidRPr="003D4574" w:rsidRDefault="00F962E5" w:rsidP="00F962E5">
      <w:pPr>
        <w:spacing w:line="240" w:lineRule="auto"/>
        <w:rPr>
          <w:b/>
          <w:bCs/>
          <w:sz w:val="24"/>
          <w:szCs w:val="24"/>
          <w:lang w:eastAsia="fr-FR"/>
        </w:rPr>
      </w:pPr>
    </w:p>
    <w:p w14:paraId="3950CEEA" w14:textId="77777777" w:rsidR="00F962E5" w:rsidRPr="003D4574" w:rsidRDefault="00F962E5" w:rsidP="00F962E5">
      <w:pPr>
        <w:numPr>
          <w:ilvl w:val="0"/>
          <w:numId w:val="4"/>
        </w:numPr>
        <w:spacing w:after="160" w:line="240" w:lineRule="auto"/>
        <w:rPr>
          <w:sz w:val="24"/>
          <w:szCs w:val="24"/>
          <w:lang w:eastAsia="fr-FR"/>
        </w:rPr>
      </w:pPr>
      <w:r w:rsidRPr="003D4574">
        <w:rPr>
          <w:b/>
          <w:bCs/>
          <w:sz w:val="24"/>
          <w:szCs w:val="24"/>
          <w:lang w:val="en-US" w:eastAsia="fr-FR"/>
        </w:rPr>
        <w:t>A6.1 Hofstede Insights (2025)</w:t>
      </w:r>
      <w:r w:rsidRPr="003D4574">
        <w:rPr>
          <w:sz w:val="24"/>
          <w:szCs w:val="24"/>
          <w:lang w:val="en-US" w:eastAsia="fr-FR"/>
        </w:rPr>
        <w:t xml:space="preserve"> – Collectivism scores for UK, India, Germany, USA. </w:t>
      </w:r>
      <w:r w:rsidRPr="003D4574">
        <w:rPr>
          <w:sz w:val="24"/>
          <w:szCs w:val="24"/>
          <w:lang w:eastAsia="fr-FR"/>
        </w:rPr>
        <w:t>Referenced in Chapter 4, RQ3.</w:t>
      </w:r>
    </w:p>
    <w:p w14:paraId="6C1EC138" w14:textId="77777777" w:rsidR="00F962E5" w:rsidRPr="003D4574" w:rsidRDefault="00F962E5" w:rsidP="00F962E5">
      <w:pPr>
        <w:numPr>
          <w:ilvl w:val="0"/>
          <w:numId w:val="4"/>
        </w:numPr>
        <w:spacing w:after="160" w:line="240" w:lineRule="auto"/>
        <w:rPr>
          <w:sz w:val="24"/>
          <w:szCs w:val="24"/>
          <w:lang w:eastAsia="fr-FR"/>
        </w:rPr>
      </w:pPr>
      <w:r w:rsidRPr="003D4574">
        <w:rPr>
          <w:b/>
          <w:bCs/>
          <w:sz w:val="24"/>
          <w:szCs w:val="24"/>
          <w:lang w:val="en-US" w:eastAsia="fr-FR"/>
        </w:rPr>
        <w:t>A6.2 Valuable 500 (2024–2025)</w:t>
      </w:r>
      <w:r w:rsidRPr="003D4574">
        <w:rPr>
          <w:sz w:val="24"/>
          <w:szCs w:val="24"/>
          <w:lang w:val="en-US" w:eastAsia="fr-FR"/>
        </w:rPr>
        <w:t xml:space="preserve"> – BT’s ESG commitments and inclusion benchmarks. </w:t>
      </w:r>
      <w:r w:rsidRPr="003D4574">
        <w:rPr>
          <w:sz w:val="24"/>
          <w:szCs w:val="24"/>
          <w:lang w:eastAsia="fr-FR"/>
        </w:rPr>
        <w:t>Referenced in Chapter 4, synthesis.</w:t>
      </w:r>
    </w:p>
    <w:p w14:paraId="72E775DB" w14:textId="77777777" w:rsidR="00F962E5" w:rsidRPr="004D091C" w:rsidRDefault="00F962E5" w:rsidP="00F962E5">
      <w:pPr>
        <w:numPr>
          <w:ilvl w:val="0"/>
          <w:numId w:val="4"/>
        </w:numPr>
        <w:spacing w:after="160" w:line="240" w:lineRule="auto"/>
        <w:rPr>
          <w:sz w:val="24"/>
          <w:szCs w:val="24"/>
          <w:lang w:eastAsia="fr-FR"/>
        </w:rPr>
      </w:pPr>
      <w:r w:rsidRPr="003D4574">
        <w:rPr>
          <w:b/>
          <w:bCs/>
          <w:sz w:val="24"/>
          <w:szCs w:val="24"/>
          <w:lang w:val="en-US" w:eastAsia="fr-FR"/>
        </w:rPr>
        <w:t>A6.3 Social Media Posts (Glassdoor, LinkedIn, X/Twitter, 2023–2025)</w:t>
      </w:r>
      <w:r w:rsidRPr="003D4574">
        <w:rPr>
          <w:sz w:val="24"/>
          <w:szCs w:val="24"/>
          <w:lang w:val="en-US" w:eastAsia="fr-FR"/>
        </w:rPr>
        <w:t xml:space="preserve"> – Employee sentiment on hybrid mandates. </w:t>
      </w:r>
      <w:r w:rsidRPr="003D4574">
        <w:rPr>
          <w:sz w:val="24"/>
          <w:szCs w:val="24"/>
          <w:lang w:eastAsia="fr-FR"/>
        </w:rPr>
        <w:t>Referenced in Chapter 4, RQ2 and RQ4.</w:t>
      </w:r>
    </w:p>
    <w:p w14:paraId="34A13DC8" w14:textId="77777777" w:rsidR="00F962E5" w:rsidRDefault="00F962E5" w:rsidP="00F962E5">
      <w:pPr>
        <w:spacing w:line="240" w:lineRule="auto"/>
        <w:rPr>
          <w:sz w:val="24"/>
          <w:szCs w:val="24"/>
          <w:lang w:eastAsia="fr-FR"/>
        </w:rPr>
      </w:pPr>
    </w:p>
    <w:p w14:paraId="28CBF8CD" w14:textId="77777777" w:rsidR="00F962E5" w:rsidRDefault="00F962E5" w:rsidP="00F962E5">
      <w:pPr>
        <w:spacing w:line="240" w:lineRule="auto"/>
        <w:rPr>
          <w:sz w:val="24"/>
          <w:szCs w:val="24"/>
          <w:lang w:eastAsia="fr-FR"/>
        </w:rPr>
      </w:pPr>
    </w:p>
    <w:p w14:paraId="7D62749E" w14:textId="77777777" w:rsidR="00F962E5" w:rsidRDefault="00F962E5" w:rsidP="00F962E5">
      <w:pPr>
        <w:spacing w:line="240" w:lineRule="auto"/>
        <w:rPr>
          <w:sz w:val="24"/>
          <w:szCs w:val="24"/>
          <w:lang w:eastAsia="fr-FR"/>
        </w:rPr>
      </w:pPr>
    </w:p>
    <w:p w14:paraId="17830DC8" w14:textId="77777777" w:rsidR="00F962E5" w:rsidRDefault="00F962E5" w:rsidP="00F962E5">
      <w:pPr>
        <w:spacing w:line="240" w:lineRule="auto"/>
        <w:rPr>
          <w:sz w:val="24"/>
          <w:szCs w:val="24"/>
          <w:lang w:eastAsia="fr-FR"/>
        </w:rPr>
      </w:pPr>
    </w:p>
    <w:p w14:paraId="34148D77" w14:textId="77777777" w:rsidR="00F962E5" w:rsidRDefault="00F962E5" w:rsidP="00F962E5">
      <w:pPr>
        <w:spacing w:line="240" w:lineRule="auto"/>
        <w:rPr>
          <w:sz w:val="24"/>
          <w:szCs w:val="24"/>
          <w:lang w:eastAsia="fr-FR"/>
        </w:rPr>
      </w:pPr>
    </w:p>
    <w:p w14:paraId="1383E287" w14:textId="77777777" w:rsidR="00F962E5" w:rsidRDefault="00F962E5" w:rsidP="00F962E5">
      <w:pPr>
        <w:spacing w:line="240" w:lineRule="auto"/>
        <w:rPr>
          <w:sz w:val="24"/>
          <w:szCs w:val="24"/>
          <w:lang w:eastAsia="fr-FR"/>
        </w:rPr>
      </w:pPr>
    </w:p>
    <w:p w14:paraId="459615C8" w14:textId="77777777" w:rsidR="00F962E5" w:rsidRDefault="00F962E5" w:rsidP="00F962E5">
      <w:pPr>
        <w:spacing w:line="240" w:lineRule="auto"/>
        <w:rPr>
          <w:sz w:val="24"/>
          <w:szCs w:val="24"/>
          <w:lang w:eastAsia="fr-FR"/>
        </w:rPr>
      </w:pPr>
    </w:p>
    <w:p w14:paraId="29CE7119" w14:textId="77777777" w:rsidR="00F962E5" w:rsidRDefault="00F962E5" w:rsidP="00F962E5">
      <w:pPr>
        <w:spacing w:line="240" w:lineRule="auto"/>
        <w:rPr>
          <w:sz w:val="24"/>
          <w:szCs w:val="24"/>
          <w:lang w:eastAsia="fr-FR"/>
        </w:rPr>
      </w:pPr>
    </w:p>
    <w:p w14:paraId="6FD5A4F2" w14:textId="77777777" w:rsidR="00F962E5" w:rsidRDefault="00F962E5" w:rsidP="00F962E5">
      <w:pPr>
        <w:spacing w:line="240" w:lineRule="auto"/>
        <w:rPr>
          <w:sz w:val="24"/>
          <w:szCs w:val="24"/>
          <w:lang w:eastAsia="fr-FR"/>
        </w:rPr>
      </w:pPr>
    </w:p>
    <w:p w14:paraId="7225C216" w14:textId="77777777" w:rsidR="00F962E5" w:rsidRDefault="00F962E5" w:rsidP="00F962E5">
      <w:pPr>
        <w:spacing w:line="240" w:lineRule="auto"/>
        <w:rPr>
          <w:sz w:val="24"/>
          <w:szCs w:val="24"/>
          <w:lang w:eastAsia="fr-FR"/>
        </w:rPr>
      </w:pPr>
    </w:p>
    <w:p w14:paraId="2D93AEAB" w14:textId="77777777" w:rsidR="00F962E5" w:rsidRDefault="00F962E5" w:rsidP="00F962E5">
      <w:pPr>
        <w:spacing w:line="240" w:lineRule="auto"/>
        <w:rPr>
          <w:sz w:val="24"/>
          <w:szCs w:val="24"/>
          <w:lang w:eastAsia="fr-FR"/>
        </w:rPr>
      </w:pPr>
    </w:p>
    <w:p w14:paraId="15A0A686" w14:textId="77777777" w:rsidR="00F962E5" w:rsidRDefault="00F962E5" w:rsidP="00F962E5">
      <w:pPr>
        <w:spacing w:line="240" w:lineRule="auto"/>
        <w:rPr>
          <w:sz w:val="24"/>
          <w:szCs w:val="24"/>
          <w:lang w:eastAsia="fr-FR"/>
        </w:rPr>
      </w:pPr>
    </w:p>
    <w:p w14:paraId="4F211255" w14:textId="77777777" w:rsidR="00F962E5" w:rsidRDefault="00F962E5" w:rsidP="00F962E5">
      <w:pPr>
        <w:spacing w:line="240" w:lineRule="auto"/>
        <w:rPr>
          <w:sz w:val="24"/>
          <w:szCs w:val="24"/>
          <w:lang w:eastAsia="fr-FR"/>
        </w:rPr>
      </w:pPr>
    </w:p>
    <w:p w14:paraId="42C934CD" w14:textId="77777777" w:rsidR="00F962E5" w:rsidRDefault="00F962E5" w:rsidP="00F962E5">
      <w:pPr>
        <w:spacing w:line="240" w:lineRule="auto"/>
        <w:rPr>
          <w:sz w:val="24"/>
          <w:szCs w:val="24"/>
          <w:lang w:eastAsia="fr-FR"/>
        </w:rPr>
      </w:pPr>
    </w:p>
    <w:p w14:paraId="3BFB61DB" w14:textId="77777777" w:rsidR="00F962E5" w:rsidRDefault="00F962E5" w:rsidP="00F962E5">
      <w:pPr>
        <w:spacing w:line="240" w:lineRule="auto"/>
        <w:rPr>
          <w:sz w:val="24"/>
          <w:szCs w:val="24"/>
          <w:lang w:eastAsia="fr-FR"/>
        </w:rPr>
      </w:pPr>
    </w:p>
    <w:p w14:paraId="35E5F00B" w14:textId="77777777" w:rsidR="00F962E5" w:rsidRDefault="00F962E5" w:rsidP="00F962E5">
      <w:pPr>
        <w:spacing w:line="240" w:lineRule="auto"/>
        <w:rPr>
          <w:sz w:val="24"/>
          <w:szCs w:val="24"/>
          <w:lang w:eastAsia="fr-FR"/>
        </w:rPr>
      </w:pPr>
    </w:p>
    <w:p w14:paraId="51369589" w14:textId="77777777" w:rsidR="00F962E5" w:rsidRDefault="00F962E5" w:rsidP="00F962E5">
      <w:pPr>
        <w:spacing w:line="240" w:lineRule="auto"/>
        <w:rPr>
          <w:sz w:val="24"/>
          <w:szCs w:val="24"/>
          <w:lang w:eastAsia="fr-FR"/>
        </w:rPr>
      </w:pPr>
    </w:p>
    <w:p w14:paraId="361383CF" w14:textId="77777777" w:rsidR="00F962E5" w:rsidRDefault="00F962E5" w:rsidP="00F962E5">
      <w:pPr>
        <w:spacing w:line="240" w:lineRule="auto"/>
        <w:rPr>
          <w:sz w:val="24"/>
          <w:szCs w:val="24"/>
          <w:lang w:eastAsia="fr-FR"/>
        </w:rPr>
      </w:pPr>
    </w:p>
    <w:p w14:paraId="25B46A47" w14:textId="77777777" w:rsidR="00F962E5" w:rsidRPr="003D4574" w:rsidRDefault="00F962E5" w:rsidP="00F962E5">
      <w:pPr>
        <w:spacing w:line="240" w:lineRule="auto"/>
        <w:rPr>
          <w:sz w:val="24"/>
          <w:szCs w:val="24"/>
          <w:lang w:eastAsia="fr-FR"/>
        </w:rPr>
      </w:pPr>
    </w:p>
    <w:p w14:paraId="155DE39D" w14:textId="77777777" w:rsidR="00F962E5" w:rsidRPr="00F962E5" w:rsidRDefault="00F962E5" w:rsidP="00F962E5">
      <w:pPr>
        <w:pStyle w:val="Heading2"/>
        <w:rPr>
          <w:color w:val="auto"/>
        </w:rPr>
      </w:pPr>
      <w:r w:rsidRPr="00F962E5">
        <w:rPr>
          <w:color w:val="auto"/>
        </w:rPr>
        <w:lastRenderedPageBreak/>
        <w:t>Appendix B: Coding Framework</w:t>
      </w:r>
    </w:p>
    <w:p w14:paraId="4DF1ABE4" w14:textId="77777777" w:rsidR="00F962E5" w:rsidRPr="003D4574" w:rsidRDefault="00F962E5" w:rsidP="00F962E5">
      <w:pPr>
        <w:spacing w:line="240" w:lineRule="auto"/>
        <w:rPr>
          <w:b/>
          <w:bCs/>
          <w:sz w:val="28"/>
          <w:szCs w:val="28"/>
          <w:lang w:val="en-US" w:eastAsia="fr-FR"/>
        </w:rPr>
      </w:pPr>
    </w:p>
    <w:p w14:paraId="4B5C29F6" w14:textId="77777777" w:rsidR="00F962E5" w:rsidRDefault="00F962E5" w:rsidP="00F962E5">
      <w:pPr>
        <w:spacing w:line="240" w:lineRule="auto"/>
        <w:rPr>
          <w:b/>
          <w:bCs/>
          <w:sz w:val="24"/>
          <w:szCs w:val="24"/>
          <w:lang w:val="en-US" w:eastAsia="fr-FR"/>
        </w:rPr>
      </w:pPr>
      <w:r w:rsidRPr="003D4574">
        <w:rPr>
          <w:b/>
          <w:bCs/>
          <w:sz w:val="24"/>
          <w:szCs w:val="24"/>
          <w:lang w:val="en-US" w:eastAsia="fr-FR"/>
        </w:rPr>
        <w:t>B1. Codebook for Key Concepts</w:t>
      </w:r>
    </w:p>
    <w:p w14:paraId="29C29DEE" w14:textId="77777777" w:rsidR="00F962E5" w:rsidRPr="003D4574" w:rsidRDefault="00F962E5" w:rsidP="00F962E5">
      <w:pPr>
        <w:spacing w:line="240" w:lineRule="auto"/>
        <w:rPr>
          <w:b/>
          <w:bCs/>
          <w:sz w:val="24"/>
          <w:szCs w:val="24"/>
          <w:lang w:val="en-US" w:eastAsia="fr-FR"/>
        </w:rPr>
      </w:pPr>
    </w:p>
    <w:p w14:paraId="2A318BF4" w14:textId="77777777" w:rsidR="00F962E5" w:rsidRDefault="00F962E5" w:rsidP="00F962E5">
      <w:pPr>
        <w:spacing w:line="240" w:lineRule="auto"/>
        <w:rPr>
          <w:sz w:val="24"/>
          <w:szCs w:val="24"/>
          <w:lang w:val="en-US" w:eastAsia="fr-FR"/>
        </w:rPr>
      </w:pPr>
      <w:r w:rsidRPr="003D4574">
        <w:rPr>
          <w:sz w:val="24"/>
          <w:szCs w:val="24"/>
          <w:lang w:val="en-US" w:eastAsia="fr-FR"/>
        </w:rPr>
        <w:t>The following code words were developed to systematically identify and categorize evidence across BT Group’s reports, employee narratives, and external sources. They correspond to the three central concepts of the study: Cultural Intelligence (CQ), Belonging, and Hybrid Work.</w:t>
      </w:r>
    </w:p>
    <w:p w14:paraId="49D2D6F9" w14:textId="77777777" w:rsidR="00F962E5" w:rsidRPr="003D4574" w:rsidRDefault="00F962E5" w:rsidP="00F962E5">
      <w:pPr>
        <w:spacing w:line="240" w:lineRule="auto"/>
        <w:rPr>
          <w:sz w:val="24"/>
          <w:szCs w:val="24"/>
          <w:lang w:val="en-US" w:eastAsia="fr-FR"/>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9"/>
        <w:gridCol w:w="2990"/>
        <w:gridCol w:w="2392"/>
        <w:gridCol w:w="2429"/>
      </w:tblGrid>
      <w:tr w:rsidR="00F962E5" w:rsidRPr="003D4574" w14:paraId="2B03E1FD" w14:textId="77777777" w:rsidTr="008A293E">
        <w:trPr>
          <w:tblHeader/>
          <w:tblCellSpacing w:w="15" w:type="dxa"/>
        </w:trPr>
        <w:tc>
          <w:tcPr>
            <w:tcW w:w="0" w:type="auto"/>
            <w:tcBorders>
              <w:top w:val="single" w:sz="4" w:space="0" w:color="auto"/>
              <w:left w:val="single" w:sz="4" w:space="0" w:color="auto"/>
            </w:tcBorders>
            <w:vAlign w:val="center"/>
            <w:hideMark/>
          </w:tcPr>
          <w:p w14:paraId="388DE54D" w14:textId="77777777" w:rsidR="00F962E5" w:rsidRPr="003D4574" w:rsidRDefault="00F962E5" w:rsidP="008A293E">
            <w:pPr>
              <w:spacing w:line="240" w:lineRule="auto"/>
              <w:rPr>
                <w:b/>
                <w:bCs/>
                <w:sz w:val="24"/>
                <w:szCs w:val="24"/>
                <w:lang w:eastAsia="fr-FR"/>
              </w:rPr>
            </w:pPr>
            <w:r w:rsidRPr="003D4574">
              <w:rPr>
                <w:b/>
                <w:bCs/>
                <w:sz w:val="24"/>
                <w:szCs w:val="24"/>
                <w:lang w:eastAsia="fr-FR"/>
              </w:rPr>
              <w:t>Code Word</w:t>
            </w:r>
          </w:p>
        </w:tc>
        <w:tc>
          <w:tcPr>
            <w:tcW w:w="0" w:type="auto"/>
            <w:tcBorders>
              <w:top w:val="single" w:sz="4" w:space="0" w:color="auto"/>
              <w:left w:val="single" w:sz="4" w:space="0" w:color="auto"/>
              <w:right w:val="single" w:sz="4" w:space="0" w:color="auto"/>
            </w:tcBorders>
            <w:vAlign w:val="center"/>
            <w:hideMark/>
          </w:tcPr>
          <w:p w14:paraId="36A28275" w14:textId="77777777" w:rsidR="00F962E5" w:rsidRPr="003D4574" w:rsidRDefault="00F962E5" w:rsidP="008A293E">
            <w:pPr>
              <w:spacing w:line="240" w:lineRule="auto"/>
              <w:rPr>
                <w:b/>
                <w:bCs/>
                <w:sz w:val="24"/>
                <w:szCs w:val="24"/>
                <w:lang w:eastAsia="fr-FR"/>
              </w:rPr>
            </w:pPr>
            <w:r w:rsidRPr="003D4574">
              <w:rPr>
                <w:b/>
                <w:bCs/>
                <w:sz w:val="24"/>
                <w:szCs w:val="24"/>
                <w:lang w:eastAsia="fr-FR"/>
              </w:rPr>
              <w:t>Definition</w:t>
            </w:r>
          </w:p>
        </w:tc>
        <w:tc>
          <w:tcPr>
            <w:tcW w:w="0" w:type="auto"/>
            <w:tcBorders>
              <w:top w:val="single" w:sz="4" w:space="0" w:color="auto"/>
              <w:right w:val="single" w:sz="4" w:space="0" w:color="auto"/>
            </w:tcBorders>
            <w:vAlign w:val="center"/>
            <w:hideMark/>
          </w:tcPr>
          <w:p w14:paraId="137380EC" w14:textId="77777777" w:rsidR="00F962E5" w:rsidRPr="003D4574" w:rsidRDefault="00F962E5" w:rsidP="008A293E">
            <w:pPr>
              <w:spacing w:line="240" w:lineRule="auto"/>
              <w:rPr>
                <w:b/>
                <w:bCs/>
                <w:sz w:val="24"/>
                <w:szCs w:val="24"/>
                <w:lang w:eastAsia="fr-FR"/>
              </w:rPr>
            </w:pPr>
            <w:r w:rsidRPr="003D4574">
              <w:rPr>
                <w:b/>
                <w:bCs/>
                <w:sz w:val="24"/>
                <w:szCs w:val="24"/>
                <w:lang w:eastAsia="fr-FR"/>
              </w:rPr>
              <w:t>Indicators in Data</w:t>
            </w:r>
          </w:p>
        </w:tc>
        <w:tc>
          <w:tcPr>
            <w:tcW w:w="0" w:type="auto"/>
            <w:tcBorders>
              <w:top w:val="single" w:sz="4" w:space="0" w:color="auto"/>
              <w:right w:val="single" w:sz="4" w:space="0" w:color="auto"/>
            </w:tcBorders>
            <w:vAlign w:val="center"/>
            <w:hideMark/>
          </w:tcPr>
          <w:p w14:paraId="51259CF9" w14:textId="77777777" w:rsidR="00F962E5" w:rsidRPr="003D4574" w:rsidRDefault="00F962E5" w:rsidP="008A293E">
            <w:pPr>
              <w:spacing w:line="240" w:lineRule="auto"/>
              <w:rPr>
                <w:b/>
                <w:bCs/>
                <w:sz w:val="24"/>
                <w:szCs w:val="24"/>
                <w:lang w:eastAsia="fr-FR"/>
              </w:rPr>
            </w:pPr>
            <w:r w:rsidRPr="003D4574">
              <w:rPr>
                <w:b/>
                <w:bCs/>
                <w:sz w:val="24"/>
                <w:szCs w:val="24"/>
                <w:lang w:eastAsia="fr-FR"/>
              </w:rPr>
              <w:t>Examples</w:t>
            </w:r>
          </w:p>
        </w:tc>
      </w:tr>
      <w:tr w:rsidR="00F962E5" w:rsidRPr="003D4574" w14:paraId="134205C6" w14:textId="77777777" w:rsidTr="008A293E">
        <w:trPr>
          <w:tblCellSpacing w:w="15" w:type="dxa"/>
        </w:trPr>
        <w:tc>
          <w:tcPr>
            <w:tcW w:w="0" w:type="auto"/>
            <w:tcBorders>
              <w:top w:val="single" w:sz="4" w:space="0" w:color="auto"/>
              <w:left w:val="single" w:sz="4" w:space="0" w:color="auto"/>
              <w:bottom w:val="single" w:sz="4" w:space="0" w:color="auto"/>
            </w:tcBorders>
            <w:vAlign w:val="center"/>
            <w:hideMark/>
          </w:tcPr>
          <w:p w14:paraId="4F015F1B" w14:textId="77777777" w:rsidR="00F962E5" w:rsidRPr="003D4574" w:rsidRDefault="00F962E5" w:rsidP="008A293E">
            <w:pPr>
              <w:spacing w:line="240" w:lineRule="auto"/>
              <w:rPr>
                <w:sz w:val="24"/>
                <w:szCs w:val="24"/>
                <w:lang w:eastAsia="fr-FR"/>
              </w:rPr>
            </w:pPr>
            <w:r w:rsidRPr="003D4574">
              <w:rPr>
                <w:b/>
                <w:bCs/>
                <w:sz w:val="24"/>
                <w:szCs w:val="24"/>
                <w:lang w:eastAsia="fr-FR"/>
              </w:rPr>
              <w:t>CQ</w:t>
            </w:r>
          </w:p>
        </w:tc>
        <w:tc>
          <w:tcPr>
            <w:tcW w:w="0" w:type="auto"/>
            <w:tcBorders>
              <w:top w:val="single" w:sz="4" w:space="0" w:color="auto"/>
              <w:left w:val="single" w:sz="4" w:space="0" w:color="auto"/>
              <w:bottom w:val="single" w:sz="4" w:space="0" w:color="auto"/>
              <w:right w:val="single" w:sz="4" w:space="0" w:color="auto"/>
            </w:tcBorders>
            <w:vAlign w:val="center"/>
            <w:hideMark/>
          </w:tcPr>
          <w:p w14:paraId="02AA717E" w14:textId="77777777" w:rsidR="00F962E5" w:rsidRPr="003D4574" w:rsidRDefault="00F962E5" w:rsidP="008A293E">
            <w:pPr>
              <w:spacing w:line="240" w:lineRule="auto"/>
              <w:rPr>
                <w:sz w:val="24"/>
                <w:szCs w:val="24"/>
                <w:lang w:val="en-US" w:eastAsia="fr-FR"/>
              </w:rPr>
            </w:pPr>
            <w:r w:rsidRPr="003D4574">
              <w:rPr>
                <w:sz w:val="24"/>
                <w:szCs w:val="24"/>
                <w:lang w:val="en-US" w:eastAsia="fr-FR"/>
              </w:rPr>
              <w:t>Cultural Intelligence: ability to adapt across cultural contexts through metacognitive, cognitive, motivational, and behavioural dimensions.</w:t>
            </w:r>
          </w:p>
        </w:tc>
        <w:tc>
          <w:tcPr>
            <w:tcW w:w="0" w:type="auto"/>
            <w:tcBorders>
              <w:top w:val="single" w:sz="4" w:space="0" w:color="auto"/>
              <w:bottom w:val="single" w:sz="4" w:space="0" w:color="auto"/>
              <w:right w:val="single" w:sz="4" w:space="0" w:color="auto"/>
            </w:tcBorders>
            <w:vAlign w:val="center"/>
            <w:hideMark/>
          </w:tcPr>
          <w:p w14:paraId="5FD0AAB7" w14:textId="77777777" w:rsidR="00F962E5" w:rsidRPr="003D4574" w:rsidRDefault="00F962E5" w:rsidP="008A293E">
            <w:pPr>
              <w:spacing w:line="240" w:lineRule="auto"/>
              <w:rPr>
                <w:sz w:val="24"/>
                <w:szCs w:val="24"/>
                <w:lang w:val="en-US" w:eastAsia="fr-FR"/>
              </w:rPr>
            </w:pPr>
            <w:r w:rsidRPr="003D4574">
              <w:rPr>
                <w:sz w:val="24"/>
                <w:szCs w:val="24"/>
                <w:lang w:val="en-US" w:eastAsia="fr-FR"/>
              </w:rPr>
              <w:t>Bias training, reverse mentoring, inclusive leadership, cross-cultural adaptation.</w:t>
            </w:r>
          </w:p>
        </w:tc>
        <w:tc>
          <w:tcPr>
            <w:tcW w:w="0" w:type="auto"/>
            <w:tcBorders>
              <w:top w:val="single" w:sz="4" w:space="0" w:color="auto"/>
              <w:bottom w:val="single" w:sz="4" w:space="0" w:color="auto"/>
              <w:right w:val="single" w:sz="4" w:space="0" w:color="auto"/>
            </w:tcBorders>
            <w:vAlign w:val="center"/>
            <w:hideMark/>
          </w:tcPr>
          <w:p w14:paraId="6332144F" w14:textId="77777777" w:rsidR="00F962E5" w:rsidRPr="003D4574" w:rsidRDefault="00F962E5" w:rsidP="008A293E">
            <w:pPr>
              <w:spacing w:line="240" w:lineRule="auto"/>
              <w:rPr>
                <w:sz w:val="24"/>
                <w:szCs w:val="24"/>
                <w:lang w:val="en-US" w:eastAsia="fr-FR"/>
              </w:rPr>
            </w:pPr>
            <w:r w:rsidRPr="003D4574">
              <w:rPr>
                <w:sz w:val="24"/>
                <w:szCs w:val="24"/>
                <w:lang w:val="en-US" w:eastAsia="fr-FR"/>
              </w:rPr>
              <w:t>“88% completion in inclusive leadership program” (BT Annual Report 2025, p.22).</w:t>
            </w:r>
          </w:p>
        </w:tc>
      </w:tr>
      <w:tr w:rsidR="00F962E5" w:rsidRPr="003D4574" w14:paraId="6CACCD3E" w14:textId="77777777" w:rsidTr="008A293E">
        <w:trPr>
          <w:tblCellSpacing w:w="15" w:type="dxa"/>
        </w:trPr>
        <w:tc>
          <w:tcPr>
            <w:tcW w:w="0" w:type="auto"/>
            <w:tcBorders>
              <w:left w:val="single" w:sz="4" w:space="0" w:color="auto"/>
            </w:tcBorders>
            <w:vAlign w:val="center"/>
            <w:hideMark/>
          </w:tcPr>
          <w:p w14:paraId="66E4460F" w14:textId="77777777" w:rsidR="00F962E5" w:rsidRPr="003D4574" w:rsidRDefault="00F962E5" w:rsidP="008A293E">
            <w:pPr>
              <w:spacing w:line="240" w:lineRule="auto"/>
              <w:rPr>
                <w:sz w:val="24"/>
                <w:szCs w:val="24"/>
                <w:lang w:eastAsia="fr-FR"/>
              </w:rPr>
            </w:pPr>
            <w:r w:rsidRPr="003D4574">
              <w:rPr>
                <w:b/>
                <w:bCs/>
                <w:sz w:val="24"/>
                <w:szCs w:val="24"/>
                <w:lang w:eastAsia="fr-FR"/>
              </w:rPr>
              <w:t>BELONGING</w:t>
            </w:r>
          </w:p>
        </w:tc>
        <w:tc>
          <w:tcPr>
            <w:tcW w:w="0" w:type="auto"/>
            <w:tcBorders>
              <w:left w:val="single" w:sz="4" w:space="0" w:color="auto"/>
              <w:right w:val="single" w:sz="4" w:space="0" w:color="auto"/>
            </w:tcBorders>
            <w:vAlign w:val="center"/>
            <w:hideMark/>
          </w:tcPr>
          <w:p w14:paraId="5E609214" w14:textId="77777777" w:rsidR="00F962E5" w:rsidRPr="003D4574" w:rsidRDefault="00F962E5" w:rsidP="008A293E">
            <w:pPr>
              <w:spacing w:line="240" w:lineRule="auto"/>
              <w:rPr>
                <w:sz w:val="24"/>
                <w:szCs w:val="24"/>
                <w:lang w:val="en-US" w:eastAsia="fr-FR"/>
              </w:rPr>
            </w:pPr>
            <w:r w:rsidRPr="003D4574">
              <w:rPr>
                <w:sz w:val="24"/>
                <w:szCs w:val="24"/>
                <w:lang w:val="en-US" w:eastAsia="fr-FR"/>
              </w:rPr>
              <w:t>Sense of psychological safety, inclusion, and engagement within hybrid work.</w:t>
            </w:r>
          </w:p>
        </w:tc>
        <w:tc>
          <w:tcPr>
            <w:tcW w:w="0" w:type="auto"/>
            <w:tcBorders>
              <w:right w:val="single" w:sz="4" w:space="0" w:color="auto"/>
            </w:tcBorders>
            <w:vAlign w:val="center"/>
            <w:hideMark/>
          </w:tcPr>
          <w:p w14:paraId="39D0E0EF" w14:textId="77777777" w:rsidR="00F962E5" w:rsidRPr="003D4574" w:rsidRDefault="00F962E5" w:rsidP="008A293E">
            <w:pPr>
              <w:spacing w:line="240" w:lineRule="auto"/>
              <w:rPr>
                <w:sz w:val="24"/>
                <w:szCs w:val="24"/>
                <w:lang w:val="en-US" w:eastAsia="fr-FR"/>
              </w:rPr>
            </w:pPr>
            <w:r w:rsidRPr="003D4574">
              <w:rPr>
                <w:sz w:val="24"/>
                <w:szCs w:val="24"/>
                <w:lang w:val="en-US" w:eastAsia="fr-FR"/>
              </w:rPr>
              <w:t>Engagement scores, inclusion index, People Networks, employee narratives on trust/visibility.</w:t>
            </w:r>
          </w:p>
        </w:tc>
        <w:tc>
          <w:tcPr>
            <w:tcW w:w="0" w:type="auto"/>
            <w:tcBorders>
              <w:right w:val="single" w:sz="4" w:space="0" w:color="auto"/>
            </w:tcBorders>
            <w:vAlign w:val="center"/>
            <w:hideMark/>
          </w:tcPr>
          <w:p w14:paraId="1D51F83C" w14:textId="77777777" w:rsidR="00F962E5" w:rsidRPr="003D4574" w:rsidRDefault="00F962E5" w:rsidP="008A293E">
            <w:pPr>
              <w:spacing w:line="240" w:lineRule="auto"/>
              <w:rPr>
                <w:sz w:val="24"/>
                <w:szCs w:val="24"/>
                <w:lang w:val="en-US" w:eastAsia="fr-FR"/>
              </w:rPr>
            </w:pPr>
            <w:r w:rsidRPr="003D4574">
              <w:rPr>
                <w:sz w:val="24"/>
                <w:szCs w:val="24"/>
                <w:lang w:val="en-US" w:eastAsia="fr-FR"/>
              </w:rPr>
              <w:t>“82% positive on empowerment” (BT Annual Report 2025, p.17).</w:t>
            </w:r>
          </w:p>
        </w:tc>
      </w:tr>
      <w:tr w:rsidR="00F962E5" w:rsidRPr="003D4574" w14:paraId="712DDD0D" w14:textId="77777777" w:rsidTr="008A293E">
        <w:trPr>
          <w:tblCellSpacing w:w="15" w:type="dxa"/>
        </w:trPr>
        <w:tc>
          <w:tcPr>
            <w:tcW w:w="0" w:type="auto"/>
            <w:tcBorders>
              <w:top w:val="single" w:sz="4" w:space="0" w:color="auto"/>
              <w:left w:val="single" w:sz="4" w:space="0" w:color="auto"/>
              <w:bottom w:val="single" w:sz="4" w:space="0" w:color="auto"/>
            </w:tcBorders>
            <w:vAlign w:val="center"/>
            <w:hideMark/>
          </w:tcPr>
          <w:p w14:paraId="3C4AAD3F" w14:textId="77777777" w:rsidR="00F962E5" w:rsidRPr="003D4574" w:rsidRDefault="00F962E5" w:rsidP="008A293E">
            <w:pPr>
              <w:spacing w:line="240" w:lineRule="auto"/>
              <w:rPr>
                <w:sz w:val="24"/>
                <w:szCs w:val="24"/>
                <w:lang w:eastAsia="fr-FR"/>
              </w:rPr>
            </w:pPr>
            <w:r w:rsidRPr="003D4574">
              <w:rPr>
                <w:b/>
                <w:bCs/>
                <w:sz w:val="24"/>
                <w:szCs w:val="24"/>
                <w:lang w:eastAsia="fr-FR"/>
              </w:rPr>
              <w:t>HYBRID</w:t>
            </w:r>
          </w:p>
        </w:tc>
        <w:tc>
          <w:tcPr>
            <w:tcW w:w="0" w:type="auto"/>
            <w:tcBorders>
              <w:top w:val="single" w:sz="4" w:space="0" w:color="auto"/>
              <w:left w:val="single" w:sz="4" w:space="0" w:color="auto"/>
              <w:bottom w:val="single" w:sz="4" w:space="0" w:color="auto"/>
              <w:right w:val="single" w:sz="4" w:space="0" w:color="auto"/>
            </w:tcBorders>
            <w:vAlign w:val="center"/>
            <w:hideMark/>
          </w:tcPr>
          <w:p w14:paraId="17E52F1E" w14:textId="77777777" w:rsidR="00F962E5" w:rsidRPr="003D4574" w:rsidRDefault="00F962E5" w:rsidP="008A293E">
            <w:pPr>
              <w:spacing w:line="240" w:lineRule="auto"/>
              <w:rPr>
                <w:sz w:val="24"/>
                <w:szCs w:val="24"/>
                <w:lang w:val="en-US" w:eastAsia="fr-FR"/>
              </w:rPr>
            </w:pPr>
            <w:r w:rsidRPr="003D4574">
              <w:rPr>
                <w:sz w:val="24"/>
                <w:szCs w:val="24"/>
                <w:lang w:val="en-US" w:eastAsia="fr-FR"/>
              </w:rPr>
              <w:t>Hybrid work policies and practices combining remote and office work.</w:t>
            </w:r>
          </w:p>
        </w:tc>
        <w:tc>
          <w:tcPr>
            <w:tcW w:w="0" w:type="auto"/>
            <w:tcBorders>
              <w:top w:val="single" w:sz="4" w:space="0" w:color="auto"/>
              <w:bottom w:val="single" w:sz="4" w:space="0" w:color="auto"/>
              <w:right w:val="single" w:sz="4" w:space="0" w:color="auto"/>
            </w:tcBorders>
            <w:vAlign w:val="center"/>
            <w:hideMark/>
          </w:tcPr>
          <w:p w14:paraId="4E4D5496" w14:textId="77777777" w:rsidR="00F962E5" w:rsidRPr="003D4574" w:rsidRDefault="00F962E5" w:rsidP="008A293E">
            <w:pPr>
              <w:spacing w:line="240" w:lineRule="auto"/>
              <w:rPr>
                <w:sz w:val="24"/>
                <w:szCs w:val="24"/>
                <w:lang w:val="en-US" w:eastAsia="fr-FR"/>
              </w:rPr>
            </w:pPr>
            <w:r w:rsidRPr="003D4574">
              <w:rPr>
                <w:sz w:val="24"/>
                <w:szCs w:val="24"/>
                <w:lang w:val="en-US" w:eastAsia="fr-FR"/>
              </w:rPr>
              <w:t>Policy evolution, mandate enforcement, employee feedback on flexibility.</w:t>
            </w:r>
          </w:p>
        </w:tc>
        <w:tc>
          <w:tcPr>
            <w:tcW w:w="0" w:type="auto"/>
            <w:tcBorders>
              <w:top w:val="single" w:sz="4" w:space="0" w:color="auto"/>
              <w:bottom w:val="single" w:sz="4" w:space="0" w:color="auto"/>
              <w:right w:val="single" w:sz="4" w:space="0" w:color="auto"/>
            </w:tcBorders>
            <w:vAlign w:val="center"/>
            <w:hideMark/>
          </w:tcPr>
          <w:p w14:paraId="07B2CB4C" w14:textId="77777777" w:rsidR="00F962E5" w:rsidRPr="003D4574" w:rsidRDefault="00F962E5" w:rsidP="008A293E">
            <w:pPr>
              <w:spacing w:line="240" w:lineRule="auto"/>
              <w:rPr>
                <w:sz w:val="24"/>
                <w:szCs w:val="24"/>
                <w:lang w:val="en-US" w:eastAsia="fr-FR"/>
              </w:rPr>
            </w:pPr>
            <w:r w:rsidRPr="003D4574">
              <w:rPr>
                <w:sz w:val="24"/>
                <w:szCs w:val="24"/>
                <w:lang w:val="en-US" w:eastAsia="fr-FR"/>
              </w:rPr>
              <w:t>“Three together, two wherever” policy (BT Annual Report 2025, p.23).</w:t>
            </w:r>
          </w:p>
        </w:tc>
      </w:tr>
    </w:tbl>
    <w:p w14:paraId="07862FA4" w14:textId="77777777" w:rsidR="00F962E5" w:rsidRPr="003D4574" w:rsidRDefault="00F962E5" w:rsidP="00F962E5">
      <w:pPr>
        <w:spacing w:line="240" w:lineRule="auto"/>
        <w:rPr>
          <w:b/>
          <w:bCs/>
          <w:sz w:val="24"/>
          <w:szCs w:val="24"/>
          <w:lang w:val="en-GB" w:eastAsia="fr-FR"/>
        </w:rPr>
      </w:pPr>
    </w:p>
    <w:p w14:paraId="41DE5A0E" w14:textId="77777777" w:rsidR="00F962E5" w:rsidRDefault="00F962E5" w:rsidP="00F962E5">
      <w:pPr>
        <w:spacing w:line="240" w:lineRule="auto"/>
        <w:rPr>
          <w:b/>
          <w:bCs/>
          <w:sz w:val="24"/>
          <w:szCs w:val="24"/>
          <w:lang w:eastAsia="fr-FR"/>
        </w:rPr>
      </w:pPr>
      <w:r w:rsidRPr="003D4574">
        <w:rPr>
          <w:b/>
          <w:bCs/>
          <w:sz w:val="24"/>
          <w:szCs w:val="24"/>
          <w:lang w:eastAsia="fr-FR"/>
        </w:rPr>
        <w:t>Cultural Intelligence (CQ)</w:t>
      </w:r>
    </w:p>
    <w:p w14:paraId="0A319CC3" w14:textId="77777777" w:rsidR="00F962E5" w:rsidRPr="003D4574" w:rsidRDefault="00F962E5" w:rsidP="00F962E5">
      <w:pPr>
        <w:spacing w:line="240" w:lineRule="auto"/>
        <w:rPr>
          <w:sz w:val="24"/>
          <w:szCs w:val="24"/>
          <w:lang w:eastAsia="fr-FR"/>
        </w:rPr>
      </w:pPr>
    </w:p>
    <w:p w14:paraId="2C5797DE" w14:textId="77777777" w:rsidR="00F962E5" w:rsidRPr="003D4574" w:rsidRDefault="00F962E5" w:rsidP="00F962E5">
      <w:pPr>
        <w:numPr>
          <w:ilvl w:val="0"/>
          <w:numId w:val="5"/>
        </w:numPr>
        <w:spacing w:after="160" w:line="240" w:lineRule="auto"/>
        <w:rPr>
          <w:sz w:val="24"/>
          <w:szCs w:val="24"/>
          <w:lang w:val="en-US" w:eastAsia="fr-FR"/>
        </w:rPr>
      </w:pPr>
      <w:r w:rsidRPr="003D4574">
        <w:rPr>
          <w:b/>
          <w:bCs/>
          <w:sz w:val="24"/>
          <w:szCs w:val="24"/>
          <w:lang w:val="en-US" w:eastAsia="fr-FR"/>
        </w:rPr>
        <w:t>CQ</w:t>
      </w:r>
      <w:r w:rsidRPr="003D4574">
        <w:rPr>
          <w:b/>
          <w:bCs/>
          <w:sz w:val="24"/>
          <w:szCs w:val="24"/>
          <w:lang w:val="en-US" w:eastAsia="fr-FR"/>
        </w:rPr>
        <w:noBreakHyphen/>
        <w:t>MOT</w:t>
      </w:r>
      <w:r w:rsidRPr="003D4574">
        <w:rPr>
          <w:sz w:val="24"/>
          <w:szCs w:val="24"/>
          <w:lang w:val="en-US" w:eastAsia="fr-FR"/>
        </w:rPr>
        <w:t xml:space="preserve"> → Motivational CQ (reverse mentoring, RAPs, empathy, willingness to adapt)</w:t>
      </w:r>
    </w:p>
    <w:p w14:paraId="3769EDE0" w14:textId="77777777" w:rsidR="00F962E5" w:rsidRPr="003D4574" w:rsidRDefault="00F962E5" w:rsidP="00F962E5">
      <w:pPr>
        <w:numPr>
          <w:ilvl w:val="0"/>
          <w:numId w:val="5"/>
        </w:numPr>
        <w:spacing w:after="160" w:line="240" w:lineRule="auto"/>
        <w:rPr>
          <w:sz w:val="24"/>
          <w:szCs w:val="24"/>
          <w:lang w:val="en-US" w:eastAsia="fr-FR"/>
        </w:rPr>
      </w:pPr>
      <w:r w:rsidRPr="003D4574">
        <w:rPr>
          <w:b/>
          <w:bCs/>
          <w:sz w:val="24"/>
          <w:szCs w:val="24"/>
          <w:lang w:val="en-US" w:eastAsia="fr-FR"/>
        </w:rPr>
        <w:t>CQ</w:t>
      </w:r>
      <w:r w:rsidRPr="003D4574">
        <w:rPr>
          <w:b/>
          <w:bCs/>
          <w:sz w:val="24"/>
          <w:szCs w:val="24"/>
          <w:lang w:val="en-US" w:eastAsia="fr-FR"/>
        </w:rPr>
        <w:noBreakHyphen/>
        <w:t>BEH</w:t>
      </w:r>
      <w:r w:rsidRPr="003D4574">
        <w:rPr>
          <w:sz w:val="24"/>
          <w:szCs w:val="24"/>
          <w:lang w:val="en-US" w:eastAsia="fr-FR"/>
        </w:rPr>
        <w:t xml:space="preserve"> → Behavioural CQ (digital etiquette, inclusive leadership micro</w:t>
      </w:r>
      <w:r w:rsidRPr="003D4574">
        <w:rPr>
          <w:sz w:val="24"/>
          <w:szCs w:val="24"/>
          <w:lang w:val="en-US" w:eastAsia="fr-FR"/>
        </w:rPr>
        <w:noBreakHyphen/>
        <w:t>behaviours, hybrid protocols)</w:t>
      </w:r>
    </w:p>
    <w:p w14:paraId="75D77620" w14:textId="77777777" w:rsidR="00F962E5" w:rsidRPr="003D4574" w:rsidRDefault="00F962E5" w:rsidP="00F962E5">
      <w:pPr>
        <w:numPr>
          <w:ilvl w:val="0"/>
          <w:numId w:val="5"/>
        </w:numPr>
        <w:spacing w:after="160" w:line="240" w:lineRule="auto"/>
        <w:rPr>
          <w:sz w:val="24"/>
          <w:szCs w:val="24"/>
          <w:lang w:eastAsia="fr-FR"/>
        </w:rPr>
      </w:pPr>
      <w:r w:rsidRPr="003D4574">
        <w:rPr>
          <w:b/>
          <w:bCs/>
          <w:sz w:val="24"/>
          <w:szCs w:val="24"/>
          <w:lang w:eastAsia="fr-FR"/>
        </w:rPr>
        <w:t>CQ</w:t>
      </w:r>
      <w:r w:rsidRPr="003D4574">
        <w:rPr>
          <w:b/>
          <w:bCs/>
          <w:sz w:val="24"/>
          <w:szCs w:val="24"/>
          <w:lang w:eastAsia="fr-FR"/>
        </w:rPr>
        <w:noBreakHyphen/>
        <w:t>COG</w:t>
      </w:r>
      <w:r w:rsidRPr="003D4574">
        <w:rPr>
          <w:sz w:val="24"/>
          <w:szCs w:val="24"/>
          <w:lang w:eastAsia="fr-FR"/>
        </w:rPr>
        <w:t xml:space="preserve"> → Cognitive CQ (bias removal training, policy enforcement, norm adaptation)</w:t>
      </w:r>
    </w:p>
    <w:p w14:paraId="65DB9BF7" w14:textId="77777777" w:rsidR="00F962E5" w:rsidRPr="003D4574" w:rsidRDefault="00F962E5" w:rsidP="00F962E5">
      <w:pPr>
        <w:numPr>
          <w:ilvl w:val="0"/>
          <w:numId w:val="5"/>
        </w:numPr>
        <w:spacing w:after="160" w:line="240" w:lineRule="auto"/>
        <w:rPr>
          <w:sz w:val="24"/>
          <w:szCs w:val="24"/>
          <w:lang w:val="en-US" w:eastAsia="fr-FR"/>
        </w:rPr>
      </w:pPr>
      <w:r w:rsidRPr="003D4574">
        <w:rPr>
          <w:b/>
          <w:bCs/>
          <w:sz w:val="24"/>
          <w:szCs w:val="24"/>
          <w:lang w:val="en-US" w:eastAsia="fr-FR"/>
        </w:rPr>
        <w:t>CQ</w:t>
      </w:r>
      <w:r w:rsidRPr="003D4574">
        <w:rPr>
          <w:b/>
          <w:bCs/>
          <w:sz w:val="24"/>
          <w:szCs w:val="24"/>
          <w:lang w:val="en-US" w:eastAsia="fr-FR"/>
        </w:rPr>
        <w:noBreakHyphen/>
        <w:t>META</w:t>
      </w:r>
      <w:r w:rsidRPr="003D4574">
        <w:rPr>
          <w:sz w:val="24"/>
          <w:szCs w:val="24"/>
          <w:lang w:val="en-US" w:eastAsia="fr-FR"/>
        </w:rPr>
        <w:t xml:space="preserve"> → Metacognitive CQ (reflection, mindful adaptation, leadership framing of mandates)</w:t>
      </w:r>
    </w:p>
    <w:p w14:paraId="0DFCE00D" w14:textId="77777777" w:rsidR="00752DDA" w:rsidRDefault="00752DDA" w:rsidP="00F962E5">
      <w:pPr>
        <w:spacing w:line="240" w:lineRule="auto"/>
        <w:rPr>
          <w:b/>
          <w:bCs/>
          <w:sz w:val="24"/>
          <w:szCs w:val="24"/>
          <w:lang w:eastAsia="fr-FR"/>
        </w:rPr>
      </w:pPr>
    </w:p>
    <w:p w14:paraId="34FB33C3" w14:textId="25C191A3" w:rsidR="00F962E5" w:rsidRDefault="00F962E5" w:rsidP="00F962E5">
      <w:pPr>
        <w:spacing w:line="240" w:lineRule="auto"/>
        <w:rPr>
          <w:b/>
          <w:bCs/>
          <w:sz w:val="24"/>
          <w:szCs w:val="24"/>
          <w:lang w:eastAsia="fr-FR"/>
        </w:rPr>
      </w:pPr>
      <w:r w:rsidRPr="003D4574">
        <w:rPr>
          <w:b/>
          <w:bCs/>
          <w:sz w:val="24"/>
          <w:szCs w:val="24"/>
          <w:lang w:eastAsia="fr-FR"/>
        </w:rPr>
        <w:t>Belonging</w:t>
      </w:r>
    </w:p>
    <w:p w14:paraId="23FDA24C" w14:textId="77777777" w:rsidR="00F962E5" w:rsidRPr="003D4574" w:rsidRDefault="00F962E5" w:rsidP="00F962E5">
      <w:pPr>
        <w:spacing w:line="240" w:lineRule="auto"/>
        <w:rPr>
          <w:sz w:val="24"/>
          <w:szCs w:val="24"/>
          <w:lang w:eastAsia="fr-FR"/>
        </w:rPr>
      </w:pPr>
    </w:p>
    <w:p w14:paraId="54480B02" w14:textId="77777777" w:rsidR="00F962E5" w:rsidRPr="003D4574" w:rsidRDefault="00F962E5" w:rsidP="00F962E5">
      <w:pPr>
        <w:numPr>
          <w:ilvl w:val="0"/>
          <w:numId w:val="6"/>
        </w:numPr>
        <w:spacing w:after="160" w:line="240" w:lineRule="auto"/>
        <w:rPr>
          <w:sz w:val="24"/>
          <w:szCs w:val="24"/>
          <w:lang w:val="en-US" w:eastAsia="fr-FR"/>
        </w:rPr>
      </w:pPr>
      <w:r w:rsidRPr="003D4574">
        <w:rPr>
          <w:b/>
          <w:bCs/>
          <w:sz w:val="24"/>
          <w:szCs w:val="24"/>
          <w:lang w:val="en-US" w:eastAsia="fr-FR"/>
        </w:rPr>
        <w:t>BEL</w:t>
      </w:r>
      <w:r w:rsidRPr="003D4574">
        <w:rPr>
          <w:b/>
          <w:bCs/>
          <w:sz w:val="24"/>
          <w:szCs w:val="24"/>
          <w:lang w:val="en-US" w:eastAsia="fr-FR"/>
        </w:rPr>
        <w:noBreakHyphen/>
        <w:t>ENG</w:t>
      </w:r>
      <w:r w:rsidRPr="003D4574">
        <w:rPr>
          <w:sz w:val="24"/>
          <w:szCs w:val="24"/>
          <w:lang w:val="en-US" w:eastAsia="fr-FR"/>
        </w:rPr>
        <w:t xml:space="preserve"> → Engagement scores (Your Say surveys, empowerment ratings, pulse surveys)</w:t>
      </w:r>
    </w:p>
    <w:p w14:paraId="6ADB3DEA" w14:textId="77777777" w:rsidR="00F962E5" w:rsidRPr="003D4574" w:rsidRDefault="00F962E5" w:rsidP="00F962E5">
      <w:pPr>
        <w:numPr>
          <w:ilvl w:val="0"/>
          <w:numId w:val="6"/>
        </w:numPr>
        <w:spacing w:after="160" w:line="240" w:lineRule="auto"/>
        <w:rPr>
          <w:sz w:val="24"/>
          <w:szCs w:val="24"/>
          <w:lang w:val="en-US" w:eastAsia="fr-FR"/>
        </w:rPr>
      </w:pPr>
      <w:r w:rsidRPr="003D4574">
        <w:rPr>
          <w:b/>
          <w:bCs/>
          <w:sz w:val="24"/>
          <w:szCs w:val="24"/>
          <w:lang w:val="en-US" w:eastAsia="fr-FR"/>
        </w:rPr>
        <w:lastRenderedPageBreak/>
        <w:t>BEL</w:t>
      </w:r>
      <w:r w:rsidRPr="003D4574">
        <w:rPr>
          <w:b/>
          <w:bCs/>
          <w:sz w:val="24"/>
          <w:szCs w:val="24"/>
          <w:lang w:val="en-US" w:eastAsia="fr-FR"/>
        </w:rPr>
        <w:noBreakHyphen/>
        <w:t>VIS</w:t>
      </w:r>
      <w:r w:rsidRPr="003D4574">
        <w:rPr>
          <w:sz w:val="24"/>
          <w:szCs w:val="24"/>
          <w:lang w:val="en-US" w:eastAsia="fr-FR"/>
        </w:rPr>
        <w:t xml:space="preserve"> → Visibility/Proximity bias (narratives of being overlooked, trust erosion, “mandate erodes trust”)</w:t>
      </w:r>
    </w:p>
    <w:p w14:paraId="77E33350" w14:textId="77777777" w:rsidR="00F962E5" w:rsidRPr="003D4574" w:rsidRDefault="00F962E5" w:rsidP="00F962E5">
      <w:pPr>
        <w:numPr>
          <w:ilvl w:val="0"/>
          <w:numId w:val="6"/>
        </w:numPr>
        <w:spacing w:after="160" w:line="240" w:lineRule="auto"/>
        <w:rPr>
          <w:sz w:val="24"/>
          <w:szCs w:val="24"/>
          <w:lang w:val="en-US" w:eastAsia="fr-FR"/>
        </w:rPr>
      </w:pPr>
      <w:r w:rsidRPr="003D4574">
        <w:rPr>
          <w:b/>
          <w:bCs/>
          <w:sz w:val="24"/>
          <w:szCs w:val="24"/>
          <w:lang w:val="en-US" w:eastAsia="fr-FR"/>
        </w:rPr>
        <w:t>BEL</w:t>
      </w:r>
      <w:r w:rsidRPr="003D4574">
        <w:rPr>
          <w:b/>
          <w:bCs/>
          <w:sz w:val="24"/>
          <w:szCs w:val="24"/>
          <w:lang w:val="en-US" w:eastAsia="fr-FR"/>
        </w:rPr>
        <w:noBreakHyphen/>
        <w:t>SAFE</w:t>
      </w:r>
      <w:r w:rsidRPr="003D4574">
        <w:rPr>
          <w:sz w:val="24"/>
          <w:szCs w:val="24"/>
          <w:lang w:val="en-US" w:eastAsia="fr-FR"/>
        </w:rPr>
        <w:t xml:space="preserve"> → Psychological safety (ISO 45003 tools, mental health allies, wellbeing portals)</w:t>
      </w:r>
    </w:p>
    <w:p w14:paraId="62348743" w14:textId="77777777" w:rsidR="00F962E5" w:rsidRPr="003D4574" w:rsidRDefault="00F962E5" w:rsidP="00F962E5">
      <w:pPr>
        <w:numPr>
          <w:ilvl w:val="0"/>
          <w:numId w:val="6"/>
        </w:numPr>
        <w:spacing w:after="160" w:line="240" w:lineRule="auto"/>
        <w:rPr>
          <w:sz w:val="24"/>
          <w:szCs w:val="24"/>
          <w:lang w:val="en-US" w:eastAsia="fr-FR"/>
        </w:rPr>
      </w:pPr>
      <w:r w:rsidRPr="003D4574">
        <w:rPr>
          <w:b/>
          <w:bCs/>
          <w:sz w:val="24"/>
          <w:szCs w:val="24"/>
          <w:lang w:val="en-US" w:eastAsia="fr-FR"/>
        </w:rPr>
        <w:t>BEL</w:t>
      </w:r>
      <w:r w:rsidRPr="003D4574">
        <w:rPr>
          <w:b/>
          <w:bCs/>
          <w:sz w:val="24"/>
          <w:szCs w:val="24"/>
          <w:lang w:val="en-US" w:eastAsia="fr-FR"/>
        </w:rPr>
        <w:noBreakHyphen/>
        <w:t>DEM</w:t>
      </w:r>
      <w:r w:rsidRPr="003D4574">
        <w:rPr>
          <w:sz w:val="24"/>
          <w:szCs w:val="24"/>
          <w:lang w:val="en-US" w:eastAsia="fr-FR"/>
        </w:rPr>
        <w:t xml:space="preserve"> → Demographic belonging (women, disabled, ethnic minority experiences, inclusion gaps)</w:t>
      </w:r>
    </w:p>
    <w:p w14:paraId="3C084EBE" w14:textId="77777777" w:rsidR="00752DDA" w:rsidRDefault="00752DDA" w:rsidP="00F962E5">
      <w:pPr>
        <w:spacing w:line="240" w:lineRule="auto"/>
        <w:rPr>
          <w:b/>
          <w:bCs/>
          <w:sz w:val="24"/>
          <w:szCs w:val="24"/>
          <w:lang w:eastAsia="fr-FR"/>
        </w:rPr>
      </w:pPr>
    </w:p>
    <w:p w14:paraId="1435F148" w14:textId="2CAB2071" w:rsidR="00F962E5" w:rsidRDefault="00F962E5" w:rsidP="00F962E5">
      <w:pPr>
        <w:spacing w:line="240" w:lineRule="auto"/>
        <w:rPr>
          <w:b/>
          <w:bCs/>
          <w:sz w:val="24"/>
          <w:szCs w:val="24"/>
          <w:lang w:eastAsia="fr-FR"/>
        </w:rPr>
      </w:pPr>
      <w:r w:rsidRPr="003D4574">
        <w:rPr>
          <w:b/>
          <w:bCs/>
          <w:sz w:val="24"/>
          <w:szCs w:val="24"/>
          <w:lang w:eastAsia="fr-FR"/>
        </w:rPr>
        <w:t>Hybrid Work</w:t>
      </w:r>
    </w:p>
    <w:p w14:paraId="747605C2" w14:textId="77777777" w:rsidR="00F962E5" w:rsidRPr="003D4574" w:rsidRDefault="00F962E5" w:rsidP="00F962E5">
      <w:pPr>
        <w:spacing w:line="240" w:lineRule="auto"/>
        <w:rPr>
          <w:sz w:val="24"/>
          <w:szCs w:val="24"/>
          <w:lang w:eastAsia="fr-FR"/>
        </w:rPr>
      </w:pPr>
    </w:p>
    <w:p w14:paraId="6EC7E2ED" w14:textId="77777777" w:rsidR="00F962E5" w:rsidRPr="003D4574" w:rsidRDefault="00F962E5" w:rsidP="00F962E5">
      <w:pPr>
        <w:numPr>
          <w:ilvl w:val="0"/>
          <w:numId w:val="7"/>
        </w:numPr>
        <w:spacing w:after="160" w:line="240" w:lineRule="auto"/>
        <w:rPr>
          <w:sz w:val="24"/>
          <w:szCs w:val="24"/>
          <w:lang w:val="en-US" w:eastAsia="fr-FR"/>
        </w:rPr>
      </w:pPr>
      <w:r w:rsidRPr="003D4574">
        <w:rPr>
          <w:b/>
          <w:bCs/>
          <w:sz w:val="24"/>
          <w:szCs w:val="24"/>
          <w:lang w:val="en-US" w:eastAsia="fr-FR"/>
        </w:rPr>
        <w:t>HYB</w:t>
      </w:r>
      <w:r w:rsidRPr="003D4574">
        <w:rPr>
          <w:b/>
          <w:bCs/>
          <w:sz w:val="24"/>
          <w:szCs w:val="24"/>
          <w:lang w:val="en-US" w:eastAsia="fr-FR"/>
        </w:rPr>
        <w:noBreakHyphen/>
        <w:t>POL</w:t>
      </w:r>
      <w:r w:rsidRPr="003D4574">
        <w:rPr>
          <w:sz w:val="24"/>
          <w:szCs w:val="24"/>
          <w:lang w:val="en-US" w:eastAsia="fr-FR"/>
        </w:rPr>
        <w:t xml:space="preserve"> → Policy evolution (ad</w:t>
      </w:r>
      <w:r w:rsidRPr="003D4574">
        <w:rPr>
          <w:sz w:val="24"/>
          <w:szCs w:val="24"/>
          <w:lang w:val="en-US" w:eastAsia="fr-FR"/>
        </w:rPr>
        <w:noBreakHyphen/>
        <w:t>hoc remote, smart working, “three together, two wherever”)</w:t>
      </w:r>
    </w:p>
    <w:p w14:paraId="05599D41" w14:textId="77777777" w:rsidR="00F962E5" w:rsidRPr="003D4574" w:rsidRDefault="00F962E5" w:rsidP="00F962E5">
      <w:pPr>
        <w:numPr>
          <w:ilvl w:val="0"/>
          <w:numId w:val="7"/>
        </w:numPr>
        <w:spacing w:after="160" w:line="240" w:lineRule="auto"/>
        <w:rPr>
          <w:sz w:val="24"/>
          <w:szCs w:val="24"/>
          <w:lang w:val="en-US" w:eastAsia="fr-FR"/>
        </w:rPr>
      </w:pPr>
      <w:r w:rsidRPr="003D4574">
        <w:rPr>
          <w:b/>
          <w:bCs/>
          <w:sz w:val="24"/>
          <w:szCs w:val="24"/>
          <w:lang w:val="en-US" w:eastAsia="fr-FR"/>
        </w:rPr>
        <w:t>HYB</w:t>
      </w:r>
      <w:r w:rsidRPr="003D4574">
        <w:rPr>
          <w:b/>
          <w:bCs/>
          <w:sz w:val="24"/>
          <w:szCs w:val="24"/>
          <w:lang w:val="en-US" w:eastAsia="fr-FR"/>
        </w:rPr>
        <w:noBreakHyphen/>
        <w:t>FLEX</w:t>
      </w:r>
      <w:r w:rsidRPr="003D4574">
        <w:rPr>
          <w:sz w:val="24"/>
          <w:szCs w:val="24"/>
          <w:lang w:val="en-US" w:eastAsia="fr-FR"/>
        </w:rPr>
        <w:t xml:space="preserve"> → Flexibility narratives (regional variations, India collectivism vs UK resistance)</w:t>
      </w:r>
    </w:p>
    <w:p w14:paraId="59F28387" w14:textId="77777777" w:rsidR="00F962E5" w:rsidRPr="003D4574" w:rsidRDefault="00F962E5" w:rsidP="00F962E5">
      <w:pPr>
        <w:numPr>
          <w:ilvl w:val="0"/>
          <w:numId w:val="7"/>
        </w:numPr>
        <w:spacing w:after="160" w:line="240" w:lineRule="auto"/>
        <w:rPr>
          <w:sz w:val="24"/>
          <w:szCs w:val="24"/>
          <w:lang w:val="en-US" w:eastAsia="fr-FR"/>
        </w:rPr>
      </w:pPr>
      <w:r w:rsidRPr="003D4574">
        <w:rPr>
          <w:b/>
          <w:bCs/>
          <w:sz w:val="24"/>
          <w:szCs w:val="24"/>
          <w:lang w:val="en-US" w:eastAsia="fr-FR"/>
        </w:rPr>
        <w:t>HYB</w:t>
      </w:r>
      <w:r w:rsidRPr="003D4574">
        <w:rPr>
          <w:b/>
          <w:bCs/>
          <w:sz w:val="24"/>
          <w:szCs w:val="24"/>
          <w:lang w:val="en-US" w:eastAsia="fr-FR"/>
        </w:rPr>
        <w:noBreakHyphen/>
        <w:t>PERF</w:t>
      </w:r>
      <w:r w:rsidRPr="003D4574">
        <w:rPr>
          <w:sz w:val="24"/>
          <w:szCs w:val="24"/>
          <w:lang w:val="en-US" w:eastAsia="fr-FR"/>
        </w:rPr>
        <w:t xml:space="preserve"> → Performance claims (cost savings, productivity gains, collaboration outputs)</w:t>
      </w:r>
    </w:p>
    <w:p w14:paraId="47ACC5BB" w14:textId="77777777" w:rsidR="00F962E5" w:rsidRPr="003D4574" w:rsidRDefault="00F962E5" w:rsidP="00F962E5">
      <w:pPr>
        <w:numPr>
          <w:ilvl w:val="0"/>
          <w:numId w:val="7"/>
        </w:numPr>
        <w:spacing w:after="160" w:line="240" w:lineRule="auto"/>
        <w:rPr>
          <w:sz w:val="24"/>
          <w:szCs w:val="24"/>
          <w:lang w:val="en-US" w:eastAsia="fr-FR"/>
        </w:rPr>
      </w:pPr>
      <w:r w:rsidRPr="003D4574">
        <w:rPr>
          <w:b/>
          <w:bCs/>
          <w:sz w:val="24"/>
          <w:szCs w:val="24"/>
          <w:lang w:val="en-US" w:eastAsia="fr-FR"/>
        </w:rPr>
        <w:t>HYB</w:t>
      </w:r>
      <w:r w:rsidRPr="003D4574">
        <w:rPr>
          <w:b/>
          <w:bCs/>
          <w:sz w:val="24"/>
          <w:szCs w:val="24"/>
          <w:lang w:val="en-US" w:eastAsia="fr-FR"/>
        </w:rPr>
        <w:noBreakHyphen/>
        <w:t>RISK</w:t>
      </w:r>
      <w:r w:rsidRPr="003D4574">
        <w:rPr>
          <w:sz w:val="24"/>
          <w:szCs w:val="24"/>
          <w:lang w:val="en-US" w:eastAsia="fr-FR"/>
        </w:rPr>
        <w:t xml:space="preserve"> → Risks and trade</w:t>
      </w:r>
      <w:r w:rsidRPr="003D4574">
        <w:rPr>
          <w:sz w:val="24"/>
          <w:szCs w:val="24"/>
          <w:lang w:val="en-US" w:eastAsia="fr-FR"/>
        </w:rPr>
        <w:noBreakHyphen/>
        <w:t>offs (turnover spikes, retention issues, belonging debt)</w:t>
      </w:r>
    </w:p>
    <w:p w14:paraId="4A2A8228" w14:textId="77777777" w:rsidR="00F962E5" w:rsidRPr="003D4574" w:rsidRDefault="00F962E5" w:rsidP="00F962E5">
      <w:pPr>
        <w:spacing w:line="240" w:lineRule="auto"/>
        <w:rPr>
          <w:sz w:val="24"/>
          <w:szCs w:val="24"/>
          <w:lang w:eastAsia="fr-FR"/>
        </w:rPr>
      </w:pPr>
    </w:p>
    <w:p w14:paraId="5BD00F99" w14:textId="77777777" w:rsidR="00F962E5" w:rsidRPr="007B52E3" w:rsidRDefault="00F962E5" w:rsidP="00F962E5">
      <w:pPr>
        <w:spacing w:line="240" w:lineRule="auto"/>
        <w:rPr>
          <w:lang w:val="en-US" w:eastAsia="fr-FR"/>
        </w:rPr>
      </w:pPr>
    </w:p>
    <w:p w14:paraId="44629787" w14:textId="77777777" w:rsidR="00457F92" w:rsidRDefault="00457F92"/>
    <w:sectPr w:rsidR="00457F92" w:rsidSect="00F962E5">
      <w:footerReference w:type="default" r:id="rId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8669B" w14:textId="77777777" w:rsidR="00F962E5" w:rsidRDefault="00F962E5">
    <w:pPr>
      <w:pStyle w:val="Footer"/>
      <w:jc w:val="center"/>
    </w:pPr>
  </w:p>
  <w:p w14:paraId="4F450F6A" w14:textId="77777777" w:rsidR="00F962E5" w:rsidRDefault="00F962E5">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79F"/>
    <w:multiLevelType w:val="multilevel"/>
    <w:tmpl w:val="8C86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993D16"/>
    <w:multiLevelType w:val="multilevel"/>
    <w:tmpl w:val="70D05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CD72D1"/>
    <w:multiLevelType w:val="multilevel"/>
    <w:tmpl w:val="174C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A713B8"/>
    <w:multiLevelType w:val="multilevel"/>
    <w:tmpl w:val="5EE4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AE485D"/>
    <w:multiLevelType w:val="multilevel"/>
    <w:tmpl w:val="91921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855A08"/>
    <w:multiLevelType w:val="multilevel"/>
    <w:tmpl w:val="7FE87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75260D"/>
    <w:multiLevelType w:val="multilevel"/>
    <w:tmpl w:val="16788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0740970">
    <w:abstractNumId w:val="1"/>
  </w:num>
  <w:num w:numId="2" w16cid:durableId="1030761300">
    <w:abstractNumId w:val="5"/>
  </w:num>
  <w:num w:numId="3" w16cid:durableId="27265685">
    <w:abstractNumId w:val="2"/>
  </w:num>
  <w:num w:numId="4" w16cid:durableId="844563078">
    <w:abstractNumId w:val="4"/>
  </w:num>
  <w:num w:numId="5" w16cid:durableId="1918594062">
    <w:abstractNumId w:val="6"/>
  </w:num>
  <w:num w:numId="6" w16cid:durableId="535511462">
    <w:abstractNumId w:val="3"/>
  </w:num>
  <w:num w:numId="7" w16cid:durableId="1212113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2E5"/>
    <w:rsid w:val="00014A80"/>
    <w:rsid w:val="001126D8"/>
    <w:rsid w:val="00457F92"/>
    <w:rsid w:val="00752DDA"/>
    <w:rsid w:val="00975EA1"/>
    <w:rsid w:val="00F96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EB558"/>
  <w15:chartTrackingRefBased/>
  <w15:docId w15:val="{37DAC9EA-58A8-4FF8-B555-5557AA83E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2E5"/>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F962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962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2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2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62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62E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62E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62E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62E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2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962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2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2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62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62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62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62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62E5"/>
    <w:rPr>
      <w:rFonts w:eastAsiaTheme="majorEastAsia" w:cstheme="majorBidi"/>
      <w:color w:val="272727" w:themeColor="text1" w:themeTint="D8"/>
    </w:rPr>
  </w:style>
  <w:style w:type="paragraph" w:styleId="Title">
    <w:name w:val="Title"/>
    <w:basedOn w:val="Normal"/>
    <w:next w:val="Normal"/>
    <w:link w:val="TitleChar"/>
    <w:uiPriority w:val="10"/>
    <w:qFormat/>
    <w:rsid w:val="00F96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2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2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2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62E5"/>
    <w:pPr>
      <w:spacing w:before="160"/>
      <w:jc w:val="center"/>
    </w:pPr>
    <w:rPr>
      <w:i/>
      <w:iCs/>
      <w:color w:val="404040" w:themeColor="text1" w:themeTint="BF"/>
    </w:rPr>
  </w:style>
  <w:style w:type="character" w:customStyle="1" w:styleId="QuoteChar">
    <w:name w:val="Quote Char"/>
    <w:basedOn w:val="DefaultParagraphFont"/>
    <w:link w:val="Quote"/>
    <w:uiPriority w:val="29"/>
    <w:rsid w:val="00F962E5"/>
    <w:rPr>
      <w:i/>
      <w:iCs/>
      <w:color w:val="404040" w:themeColor="text1" w:themeTint="BF"/>
    </w:rPr>
  </w:style>
  <w:style w:type="paragraph" w:styleId="ListParagraph">
    <w:name w:val="List Paragraph"/>
    <w:basedOn w:val="Normal"/>
    <w:uiPriority w:val="34"/>
    <w:qFormat/>
    <w:rsid w:val="00F962E5"/>
    <w:pPr>
      <w:ind w:left="720"/>
      <w:contextualSpacing/>
    </w:pPr>
  </w:style>
  <w:style w:type="character" w:styleId="IntenseEmphasis">
    <w:name w:val="Intense Emphasis"/>
    <w:basedOn w:val="DefaultParagraphFont"/>
    <w:uiPriority w:val="21"/>
    <w:qFormat/>
    <w:rsid w:val="00F962E5"/>
    <w:rPr>
      <w:i/>
      <w:iCs/>
      <w:color w:val="0F4761" w:themeColor="accent1" w:themeShade="BF"/>
    </w:rPr>
  </w:style>
  <w:style w:type="paragraph" w:styleId="IntenseQuote">
    <w:name w:val="Intense Quote"/>
    <w:basedOn w:val="Normal"/>
    <w:next w:val="Normal"/>
    <w:link w:val="IntenseQuoteChar"/>
    <w:uiPriority w:val="30"/>
    <w:qFormat/>
    <w:rsid w:val="00F962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2E5"/>
    <w:rPr>
      <w:i/>
      <w:iCs/>
      <w:color w:val="0F4761" w:themeColor="accent1" w:themeShade="BF"/>
    </w:rPr>
  </w:style>
  <w:style w:type="character" w:styleId="IntenseReference">
    <w:name w:val="Intense Reference"/>
    <w:basedOn w:val="DefaultParagraphFont"/>
    <w:uiPriority w:val="32"/>
    <w:qFormat/>
    <w:rsid w:val="00F962E5"/>
    <w:rPr>
      <w:b/>
      <w:bCs/>
      <w:smallCaps/>
      <w:color w:val="0F4761" w:themeColor="accent1" w:themeShade="BF"/>
      <w:spacing w:val="5"/>
    </w:rPr>
  </w:style>
  <w:style w:type="paragraph" w:styleId="Footer">
    <w:name w:val="footer"/>
    <w:basedOn w:val="Normal"/>
    <w:link w:val="FooterChar"/>
    <w:uiPriority w:val="99"/>
    <w:qFormat/>
    <w:rsid w:val="00F962E5"/>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F962E5"/>
    <w:rPr>
      <w:rFonts w:ascii="Arial" w:eastAsia="Arial" w:hAnsi="Arial" w:cs="Arial"/>
      <w:kern w:val="0"/>
      <w:sz w:val="18"/>
      <w:szCs w:val="18"/>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7</Pages>
  <Words>1428</Words>
  <Characters>8800</Characters>
  <Application>Microsoft Office Word</Application>
  <DocSecurity>0</DocSecurity>
  <Lines>400</Lines>
  <Paragraphs>222</Paragraphs>
  <ScaleCrop>false</ScaleCrop>
  <Company>University of Salford</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Morrin</dc:creator>
  <cp:keywords/>
  <dc:description/>
  <cp:lastModifiedBy>Stephen Morrin</cp:lastModifiedBy>
  <cp:revision>2</cp:revision>
  <dcterms:created xsi:type="dcterms:W3CDTF">2026-03-12T15:51:00Z</dcterms:created>
  <dcterms:modified xsi:type="dcterms:W3CDTF">2026-03-13T10:02:00Z</dcterms:modified>
</cp:coreProperties>
</file>