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6AEA" w14:textId="77777777" w:rsidR="007158F2" w:rsidRPr="00474DF0" w:rsidRDefault="007158F2" w:rsidP="007158F2">
      <w:pPr>
        <w:rPr>
          <w:b/>
          <w:bCs/>
          <w:sz w:val="48"/>
          <w:szCs w:val="48"/>
        </w:rPr>
      </w:pPr>
      <w:r w:rsidRPr="00474DF0">
        <w:rPr>
          <w:b/>
          <w:bCs/>
          <w:sz w:val="48"/>
          <w:szCs w:val="48"/>
        </w:rPr>
        <w:t>APPENDICES</w:t>
      </w:r>
    </w:p>
    <w:p w14:paraId="51477743" w14:textId="77777777" w:rsidR="007158F2" w:rsidRPr="00985C38" w:rsidRDefault="007158F2" w:rsidP="007158F2">
      <w:pPr>
        <w:rPr>
          <w:b/>
          <w:bCs/>
          <w:sz w:val="24"/>
          <w:szCs w:val="24"/>
        </w:rPr>
      </w:pPr>
      <w:r w:rsidRPr="00985C38">
        <w:rPr>
          <w:b/>
          <w:bCs/>
          <w:sz w:val="24"/>
          <w:szCs w:val="24"/>
        </w:rPr>
        <w:t>APPENDIX 1</w:t>
      </w:r>
    </w:p>
    <w:p w14:paraId="3DB72087" w14:textId="77777777" w:rsidR="007158F2" w:rsidRPr="00985C38" w:rsidRDefault="007158F2" w:rsidP="007158F2">
      <w:pPr>
        <w:rPr>
          <w:b/>
          <w:bCs/>
          <w:sz w:val="24"/>
          <w:szCs w:val="24"/>
        </w:rPr>
      </w:pPr>
      <w:r w:rsidRPr="00985C38">
        <w:rPr>
          <w:b/>
          <w:bCs/>
          <w:sz w:val="24"/>
          <w:szCs w:val="24"/>
        </w:rPr>
        <w:t>Table A1.1: Overview of Qualitative Data Analysis Underpinning RQ1 – University of Salford (2020–2025)</w:t>
      </w:r>
    </w:p>
    <w:tbl>
      <w:tblPr>
        <w:tblStyle w:val="TableGrid"/>
        <w:tblW w:w="0" w:type="auto"/>
        <w:tblLook w:val="04A0" w:firstRow="1" w:lastRow="0" w:firstColumn="1" w:lastColumn="0" w:noHBand="0" w:noVBand="1"/>
      </w:tblPr>
      <w:tblGrid>
        <w:gridCol w:w="1709"/>
        <w:gridCol w:w="1645"/>
        <w:gridCol w:w="1835"/>
        <w:gridCol w:w="1170"/>
        <w:gridCol w:w="2657"/>
      </w:tblGrid>
      <w:tr w:rsidR="007158F2" w:rsidRPr="00C50801" w14:paraId="7E65F684" w14:textId="77777777" w:rsidTr="008E26E9">
        <w:tc>
          <w:tcPr>
            <w:tcW w:w="0" w:type="auto"/>
            <w:shd w:val="clear" w:color="auto" w:fill="4C94D8" w:themeFill="text2" w:themeFillTint="80"/>
            <w:hideMark/>
          </w:tcPr>
          <w:p w14:paraId="3567B70E" w14:textId="77777777" w:rsidR="007158F2" w:rsidRPr="00C50801" w:rsidRDefault="007158F2" w:rsidP="008E26E9">
            <w:pPr>
              <w:spacing w:after="160" w:line="278" w:lineRule="auto"/>
              <w:rPr>
                <w:b/>
                <w:bCs/>
              </w:rPr>
            </w:pPr>
            <w:r w:rsidRPr="00C50801">
              <w:rPr>
                <w:b/>
                <w:bCs/>
              </w:rPr>
              <w:t>Research Question</w:t>
            </w:r>
          </w:p>
        </w:tc>
        <w:tc>
          <w:tcPr>
            <w:tcW w:w="0" w:type="auto"/>
            <w:shd w:val="clear" w:color="auto" w:fill="4C94D8" w:themeFill="text2" w:themeFillTint="80"/>
            <w:hideMark/>
          </w:tcPr>
          <w:p w14:paraId="66E67005" w14:textId="77777777" w:rsidR="007158F2" w:rsidRPr="00C50801" w:rsidRDefault="007158F2" w:rsidP="008E26E9">
            <w:pPr>
              <w:spacing w:after="160" w:line="278" w:lineRule="auto"/>
              <w:rPr>
                <w:b/>
                <w:bCs/>
              </w:rPr>
            </w:pPr>
            <w:r w:rsidRPr="00C50801">
              <w:rPr>
                <w:b/>
                <w:bCs/>
              </w:rPr>
              <w:t>Main Theme</w:t>
            </w:r>
          </w:p>
        </w:tc>
        <w:tc>
          <w:tcPr>
            <w:tcW w:w="0" w:type="auto"/>
            <w:shd w:val="clear" w:color="auto" w:fill="4C94D8" w:themeFill="text2" w:themeFillTint="80"/>
            <w:hideMark/>
          </w:tcPr>
          <w:p w14:paraId="31646B26" w14:textId="77777777" w:rsidR="007158F2" w:rsidRPr="00C50801" w:rsidRDefault="007158F2" w:rsidP="008E26E9">
            <w:pPr>
              <w:spacing w:after="160" w:line="278" w:lineRule="auto"/>
              <w:rPr>
                <w:b/>
                <w:bCs/>
              </w:rPr>
            </w:pPr>
            <w:r w:rsidRPr="00C50801">
              <w:rPr>
                <w:b/>
                <w:bCs/>
              </w:rPr>
              <w:t>Sub-theme / Code</w:t>
            </w:r>
          </w:p>
        </w:tc>
        <w:tc>
          <w:tcPr>
            <w:tcW w:w="0" w:type="auto"/>
            <w:shd w:val="clear" w:color="auto" w:fill="4C94D8" w:themeFill="text2" w:themeFillTint="80"/>
            <w:hideMark/>
          </w:tcPr>
          <w:p w14:paraId="746F69E4" w14:textId="77777777" w:rsidR="007158F2" w:rsidRPr="00C50801" w:rsidRDefault="007158F2" w:rsidP="008E26E9">
            <w:pPr>
              <w:spacing w:after="160" w:line="278" w:lineRule="auto"/>
              <w:rPr>
                <w:b/>
                <w:bCs/>
              </w:rPr>
            </w:pPr>
            <w:r w:rsidRPr="00C50801">
              <w:rPr>
                <w:b/>
                <w:bCs/>
              </w:rPr>
              <w:t>Findings Section Ref</w:t>
            </w:r>
          </w:p>
        </w:tc>
        <w:tc>
          <w:tcPr>
            <w:tcW w:w="0" w:type="auto"/>
            <w:shd w:val="clear" w:color="auto" w:fill="4C94D8" w:themeFill="text2" w:themeFillTint="80"/>
            <w:hideMark/>
          </w:tcPr>
          <w:p w14:paraId="713E4EE7" w14:textId="77777777" w:rsidR="007158F2" w:rsidRPr="00C50801" w:rsidRDefault="007158F2" w:rsidP="008E26E9">
            <w:pPr>
              <w:spacing w:after="160" w:line="278" w:lineRule="auto"/>
              <w:rPr>
                <w:b/>
                <w:bCs/>
              </w:rPr>
            </w:pPr>
            <w:r w:rsidRPr="008C70AB">
              <w:rPr>
                <w:b/>
                <w:bCs/>
              </w:rPr>
              <w:t xml:space="preserve">Illustrative Extract </w:t>
            </w:r>
          </w:p>
        </w:tc>
      </w:tr>
      <w:tr w:rsidR="007158F2" w:rsidRPr="00C50801" w14:paraId="13DE0E5D" w14:textId="77777777" w:rsidTr="008E26E9">
        <w:tc>
          <w:tcPr>
            <w:tcW w:w="0" w:type="auto"/>
            <w:hideMark/>
          </w:tcPr>
          <w:p w14:paraId="28AF16DF" w14:textId="77777777" w:rsidR="007158F2" w:rsidRPr="004204CB" w:rsidRDefault="007158F2" w:rsidP="008E26E9">
            <w:pPr>
              <w:spacing w:after="160" w:line="278" w:lineRule="auto"/>
              <w:rPr>
                <w:b/>
                <w:bCs/>
              </w:rPr>
            </w:pPr>
            <w:r w:rsidRPr="004204CB">
              <w:rPr>
                <w:b/>
                <w:bCs/>
              </w:rPr>
              <w:t>RQ1: How were EDI strategies implemented (2020–2025)?</w:t>
            </w:r>
          </w:p>
        </w:tc>
        <w:tc>
          <w:tcPr>
            <w:tcW w:w="0" w:type="auto"/>
            <w:hideMark/>
          </w:tcPr>
          <w:p w14:paraId="600D38A9" w14:textId="77777777" w:rsidR="007158F2" w:rsidRPr="008C70AB" w:rsidRDefault="007158F2" w:rsidP="008E26E9">
            <w:pPr>
              <w:spacing w:after="160" w:line="278" w:lineRule="auto"/>
            </w:pPr>
            <w:r w:rsidRPr="008C70AB">
              <w:t>Strategic institutional embedding of EDI</w:t>
            </w:r>
          </w:p>
        </w:tc>
        <w:tc>
          <w:tcPr>
            <w:tcW w:w="0" w:type="auto"/>
            <w:hideMark/>
          </w:tcPr>
          <w:p w14:paraId="76438874" w14:textId="77777777" w:rsidR="007158F2" w:rsidRPr="008C70AB" w:rsidRDefault="007158F2" w:rsidP="008E26E9">
            <w:pPr>
              <w:spacing w:after="160" w:line="278" w:lineRule="auto"/>
            </w:pPr>
            <w:r w:rsidRPr="008C70AB">
              <w:t>Gender equity as a core institutional priority</w:t>
            </w:r>
          </w:p>
        </w:tc>
        <w:tc>
          <w:tcPr>
            <w:tcW w:w="0" w:type="auto"/>
            <w:hideMark/>
          </w:tcPr>
          <w:p w14:paraId="17D6BAE9" w14:textId="77777777" w:rsidR="007158F2" w:rsidRPr="008C70AB" w:rsidRDefault="007158F2" w:rsidP="008E26E9">
            <w:pPr>
              <w:spacing w:after="160" w:line="278" w:lineRule="auto"/>
            </w:pPr>
            <w:r w:rsidRPr="008C70AB">
              <w:t>3.1</w:t>
            </w:r>
          </w:p>
        </w:tc>
        <w:tc>
          <w:tcPr>
            <w:tcW w:w="0" w:type="auto"/>
            <w:hideMark/>
          </w:tcPr>
          <w:p w14:paraId="23CD3E5C" w14:textId="77777777" w:rsidR="007158F2" w:rsidRPr="008C70AB" w:rsidRDefault="007158F2" w:rsidP="008E26E9">
            <w:pPr>
              <w:spacing w:after="160" w:line="278" w:lineRule="auto"/>
            </w:pPr>
            <w:r w:rsidRPr="008C70AB">
              <w:t>“A core part of this statement is achieving race and gender equity in key areas…” (University of Salford, 2024b, p. 3)</w:t>
            </w:r>
          </w:p>
        </w:tc>
      </w:tr>
      <w:tr w:rsidR="007158F2" w:rsidRPr="00C50801" w14:paraId="57C10857" w14:textId="77777777" w:rsidTr="008E26E9">
        <w:tc>
          <w:tcPr>
            <w:tcW w:w="0" w:type="auto"/>
            <w:hideMark/>
          </w:tcPr>
          <w:p w14:paraId="48D9CF71" w14:textId="77777777" w:rsidR="007158F2" w:rsidRPr="008C70AB" w:rsidRDefault="007158F2" w:rsidP="008E26E9">
            <w:pPr>
              <w:spacing w:after="160" w:line="278" w:lineRule="auto"/>
            </w:pPr>
            <w:r w:rsidRPr="008C70AB">
              <w:t>RQ1</w:t>
            </w:r>
          </w:p>
        </w:tc>
        <w:tc>
          <w:tcPr>
            <w:tcW w:w="0" w:type="auto"/>
            <w:hideMark/>
          </w:tcPr>
          <w:p w14:paraId="66F7EABB" w14:textId="77777777" w:rsidR="007158F2" w:rsidRPr="008C70AB" w:rsidRDefault="007158F2" w:rsidP="008E26E9">
            <w:pPr>
              <w:spacing w:after="160" w:line="278" w:lineRule="auto"/>
            </w:pPr>
            <w:r w:rsidRPr="008C70AB">
              <w:t>Strategic institutional embedding of EDI</w:t>
            </w:r>
          </w:p>
        </w:tc>
        <w:tc>
          <w:tcPr>
            <w:tcW w:w="0" w:type="auto"/>
            <w:hideMark/>
          </w:tcPr>
          <w:p w14:paraId="4FF4E91D" w14:textId="77777777" w:rsidR="007158F2" w:rsidRPr="008C70AB" w:rsidRDefault="007158F2" w:rsidP="008E26E9">
            <w:pPr>
              <w:spacing w:after="160" w:line="278" w:lineRule="auto"/>
            </w:pPr>
            <w:r w:rsidRPr="008C70AB">
              <w:t>Whole-institution implementation approach</w:t>
            </w:r>
          </w:p>
        </w:tc>
        <w:tc>
          <w:tcPr>
            <w:tcW w:w="0" w:type="auto"/>
            <w:hideMark/>
          </w:tcPr>
          <w:p w14:paraId="019FEDEF" w14:textId="77777777" w:rsidR="007158F2" w:rsidRPr="008C70AB" w:rsidRDefault="007158F2" w:rsidP="008E26E9">
            <w:pPr>
              <w:spacing w:after="160" w:line="278" w:lineRule="auto"/>
            </w:pPr>
            <w:r w:rsidRPr="008C70AB">
              <w:t>3.1</w:t>
            </w:r>
          </w:p>
        </w:tc>
        <w:tc>
          <w:tcPr>
            <w:tcW w:w="0" w:type="auto"/>
            <w:hideMark/>
          </w:tcPr>
          <w:p w14:paraId="6F77889E" w14:textId="77777777" w:rsidR="007158F2" w:rsidRPr="008C70AB" w:rsidRDefault="007158F2" w:rsidP="008E26E9">
            <w:pPr>
              <w:spacing w:after="160" w:line="278" w:lineRule="auto"/>
            </w:pPr>
            <w:r w:rsidRPr="008C70AB">
              <w:t>“Our approach to driving change will be through a whole institution approach…” (University of Salford, 2024b, p. 3)</w:t>
            </w:r>
          </w:p>
        </w:tc>
      </w:tr>
      <w:tr w:rsidR="007158F2" w:rsidRPr="00C50801" w14:paraId="0468A88B" w14:textId="77777777" w:rsidTr="008E26E9">
        <w:tc>
          <w:tcPr>
            <w:tcW w:w="0" w:type="auto"/>
            <w:hideMark/>
          </w:tcPr>
          <w:p w14:paraId="2369C90D" w14:textId="77777777" w:rsidR="007158F2" w:rsidRPr="008C70AB" w:rsidRDefault="007158F2" w:rsidP="008E26E9">
            <w:pPr>
              <w:spacing w:after="160" w:line="278" w:lineRule="auto"/>
            </w:pPr>
            <w:r w:rsidRPr="008C70AB">
              <w:t>RQ1</w:t>
            </w:r>
          </w:p>
        </w:tc>
        <w:tc>
          <w:tcPr>
            <w:tcW w:w="0" w:type="auto"/>
            <w:hideMark/>
          </w:tcPr>
          <w:p w14:paraId="2C52AA3A" w14:textId="77777777" w:rsidR="007158F2" w:rsidRPr="008C70AB" w:rsidRDefault="007158F2" w:rsidP="008E26E9">
            <w:pPr>
              <w:spacing w:after="160" w:line="278" w:lineRule="auto"/>
            </w:pPr>
            <w:r w:rsidRPr="008C70AB">
              <w:t>Strategic institutional embedding of EDI</w:t>
            </w:r>
          </w:p>
        </w:tc>
        <w:tc>
          <w:tcPr>
            <w:tcW w:w="0" w:type="auto"/>
            <w:hideMark/>
          </w:tcPr>
          <w:p w14:paraId="7A5936E1" w14:textId="77777777" w:rsidR="007158F2" w:rsidRPr="008C70AB" w:rsidRDefault="007158F2" w:rsidP="008E26E9">
            <w:pPr>
              <w:spacing w:after="160" w:line="278" w:lineRule="auto"/>
            </w:pPr>
            <w:r w:rsidRPr="008C70AB">
              <w:t>Development and implementation of targeted initiatives</w:t>
            </w:r>
          </w:p>
        </w:tc>
        <w:tc>
          <w:tcPr>
            <w:tcW w:w="0" w:type="auto"/>
            <w:hideMark/>
          </w:tcPr>
          <w:p w14:paraId="4B9B3E56" w14:textId="77777777" w:rsidR="007158F2" w:rsidRPr="008C70AB" w:rsidRDefault="007158F2" w:rsidP="008E26E9">
            <w:pPr>
              <w:spacing w:after="160" w:line="278" w:lineRule="auto"/>
            </w:pPr>
            <w:r w:rsidRPr="008C70AB">
              <w:t>3.1</w:t>
            </w:r>
          </w:p>
        </w:tc>
        <w:tc>
          <w:tcPr>
            <w:tcW w:w="0" w:type="auto"/>
            <w:hideMark/>
          </w:tcPr>
          <w:p w14:paraId="1DB358F6" w14:textId="77777777" w:rsidR="007158F2" w:rsidRPr="008C70AB" w:rsidRDefault="007158F2" w:rsidP="008E26E9">
            <w:pPr>
              <w:spacing w:after="160" w:line="278" w:lineRule="auto"/>
            </w:pPr>
            <w:r w:rsidRPr="008C70AB">
              <w:t>“</w:t>
            </w:r>
            <w:proofErr w:type="gramStart"/>
            <w:r w:rsidRPr="008C70AB">
              <w:t>development</w:t>
            </w:r>
            <w:proofErr w:type="gramEnd"/>
            <w:r w:rsidRPr="008C70AB">
              <w:t xml:space="preserve"> and implementation of targeted initiatives.” (University of Salford, 2024b, p. 3)</w:t>
            </w:r>
          </w:p>
        </w:tc>
      </w:tr>
      <w:tr w:rsidR="007158F2" w:rsidRPr="00C50801" w14:paraId="227412C3" w14:textId="77777777" w:rsidTr="008E26E9">
        <w:tc>
          <w:tcPr>
            <w:tcW w:w="0" w:type="auto"/>
            <w:hideMark/>
          </w:tcPr>
          <w:p w14:paraId="3E168170" w14:textId="77777777" w:rsidR="007158F2" w:rsidRPr="008C70AB" w:rsidRDefault="007158F2" w:rsidP="008E26E9">
            <w:pPr>
              <w:spacing w:after="160" w:line="278" w:lineRule="auto"/>
            </w:pPr>
            <w:r w:rsidRPr="008C70AB">
              <w:t>RQ1</w:t>
            </w:r>
          </w:p>
        </w:tc>
        <w:tc>
          <w:tcPr>
            <w:tcW w:w="0" w:type="auto"/>
            <w:hideMark/>
          </w:tcPr>
          <w:p w14:paraId="00706E39" w14:textId="77777777" w:rsidR="007158F2" w:rsidRPr="008C70AB" w:rsidRDefault="007158F2" w:rsidP="008E26E9">
            <w:pPr>
              <w:spacing w:after="160" w:line="278" w:lineRule="auto"/>
            </w:pPr>
            <w:r w:rsidRPr="008C70AB">
              <w:t>Pay equity monitoring and statutory compliance</w:t>
            </w:r>
          </w:p>
        </w:tc>
        <w:tc>
          <w:tcPr>
            <w:tcW w:w="0" w:type="auto"/>
            <w:hideMark/>
          </w:tcPr>
          <w:p w14:paraId="74412D96" w14:textId="77777777" w:rsidR="007158F2" w:rsidRPr="008C70AB" w:rsidRDefault="007158F2" w:rsidP="008E26E9">
            <w:pPr>
              <w:spacing w:after="160" w:line="278" w:lineRule="auto"/>
            </w:pPr>
            <w:r w:rsidRPr="008C70AB">
              <w:t xml:space="preserve">Statutory gender </w:t>
            </w:r>
            <w:proofErr w:type="gramStart"/>
            <w:r w:rsidRPr="008C70AB">
              <w:t>pay</w:t>
            </w:r>
            <w:proofErr w:type="gramEnd"/>
            <w:r w:rsidRPr="008C70AB">
              <w:t xml:space="preserve"> gap publication</w:t>
            </w:r>
          </w:p>
        </w:tc>
        <w:tc>
          <w:tcPr>
            <w:tcW w:w="0" w:type="auto"/>
            <w:hideMark/>
          </w:tcPr>
          <w:p w14:paraId="037ECC22" w14:textId="77777777" w:rsidR="007158F2" w:rsidRPr="008C70AB" w:rsidRDefault="007158F2" w:rsidP="008E26E9">
            <w:pPr>
              <w:spacing w:after="160" w:line="278" w:lineRule="auto"/>
            </w:pPr>
            <w:r w:rsidRPr="008C70AB">
              <w:t>3.1</w:t>
            </w:r>
          </w:p>
        </w:tc>
        <w:tc>
          <w:tcPr>
            <w:tcW w:w="0" w:type="auto"/>
            <w:hideMark/>
          </w:tcPr>
          <w:p w14:paraId="3269DDF0" w14:textId="77777777" w:rsidR="007158F2" w:rsidRPr="008C70AB" w:rsidRDefault="007158F2" w:rsidP="008E26E9">
            <w:pPr>
              <w:spacing w:after="160" w:line="278" w:lineRule="auto"/>
            </w:pPr>
            <w:r w:rsidRPr="008C70AB">
              <w:t>“In addition to complying with our specific duty under the Equality Act (2010), Public Sector Equality Duty (PSED) to publish our gender pay gap information, we are committed to further examining pay gaps in relation to ethnicity and disability…” (University of Salford, 2024b, p. 3)</w:t>
            </w:r>
          </w:p>
        </w:tc>
      </w:tr>
      <w:tr w:rsidR="007158F2" w:rsidRPr="00C50801" w14:paraId="551573F2" w14:textId="77777777" w:rsidTr="008E26E9">
        <w:tc>
          <w:tcPr>
            <w:tcW w:w="0" w:type="auto"/>
            <w:hideMark/>
          </w:tcPr>
          <w:p w14:paraId="5A007CC2" w14:textId="77777777" w:rsidR="007158F2" w:rsidRPr="008C70AB" w:rsidRDefault="007158F2" w:rsidP="008E26E9">
            <w:pPr>
              <w:spacing w:after="160" w:line="278" w:lineRule="auto"/>
            </w:pPr>
            <w:r w:rsidRPr="008C70AB">
              <w:t>RQ1</w:t>
            </w:r>
          </w:p>
        </w:tc>
        <w:tc>
          <w:tcPr>
            <w:tcW w:w="0" w:type="auto"/>
            <w:hideMark/>
          </w:tcPr>
          <w:p w14:paraId="5FBF07F9" w14:textId="77777777" w:rsidR="007158F2" w:rsidRPr="008C70AB" w:rsidRDefault="007158F2" w:rsidP="008E26E9">
            <w:pPr>
              <w:spacing w:after="160" w:line="278" w:lineRule="auto"/>
            </w:pPr>
            <w:r w:rsidRPr="008C70AB">
              <w:t>Pay equity monitoring and statutory compliance</w:t>
            </w:r>
          </w:p>
        </w:tc>
        <w:tc>
          <w:tcPr>
            <w:tcW w:w="0" w:type="auto"/>
            <w:hideMark/>
          </w:tcPr>
          <w:p w14:paraId="3EA1D212" w14:textId="77777777" w:rsidR="007158F2" w:rsidRPr="008C70AB" w:rsidRDefault="007158F2" w:rsidP="008E26E9">
            <w:pPr>
              <w:spacing w:after="160" w:line="278" w:lineRule="auto"/>
            </w:pPr>
            <w:r w:rsidRPr="008C70AB">
              <w:t>Intersectional monitoring (ethnicity + disability)</w:t>
            </w:r>
          </w:p>
        </w:tc>
        <w:tc>
          <w:tcPr>
            <w:tcW w:w="0" w:type="auto"/>
            <w:hideMark/>
          </w:tcPr>
          <w:p w14:paraId="6104C49E" w14:textId="77777777" w:rsidR="007158F2" w:rsidRPr="008C70AB" w:rsidRDefault="007158F2" w:rsidP="008E26E9">
            <w:pPr>
              <w:spacing w:after="160" w:line="278" w:lineRule="auto"/>
            </w:pPr>
            <w:r w:rsidRPr="008C70AB">
              <w:t>3.1</w:t>
            </w:r>
          </w:p>
        </w:tc>
        <w:tc>
          <w:tcPr>
            <w:tcW w:w="0" w:type="auto"/>
            <w:hideMark/>
          </w:tcPr>
          <w:p w14:paraId="0EF7D790" w14:textId="77777777" w:rsidR="007158F2" w:rsidRPr="008C70AB" w:rsidRDefault="007158F2" w:rsidP="008E26E9">
            <w:pPr>
              <w:spacing w:after="160" w:line="278" w:lineRule="auto"/>
            </w:pPr>
            <w:r w:rsidRPr="008C70AB">
              <w:t>“</w:t>
            </w:r>
            <w:proofErr w:type="gramStart"/>
            <w:r w:rsidRPr="008C70AB">
              <w:t>we</w:t>
            </w:r>
            <w:proofErr w:type="gramEnd"/>
            <w:r w:rsidRPr="008C70AB">
              <w:t xml:space="preserve"> are committed to further examining pay gaps in relation to ethnicity and disability…” (University of Salford, 2024b, p. 3)</w:t>
            </w:r>
          </w:p>
        </w:tc>
      </w:tr>
      <w:tr w:rsidR="007158F2" w:rsidRPr="00C50801" w14:paraId="3FAFB158" w14:textId="77777777" w:rsidTr="008E26E9">
        <w:tc>
          <w:tcPr>
            <w:tcW w:w="0" w:type="auto"/>
            <w:hideMark/>
          </w:tcPr>
          <w:p w14:paraId="330DF371" w14:textId="77777777" w:rsidR="007158F2" w:rsidRPr="008C70AB" w:rsidRDefault="007158F2" w:rsidP="008E26E9">
            <w:pPr>
              <w:spacing w:after="160" w:line="278" w:lineRule="auto"/>
            </w:pPr>
            <w:r w:rsidRPr="008C70AB">
              <w:lastRenderedPageBreak/>
              <w:t>RQ1</w:t>
            </w:r>
          </w:p>
        </w:tc>
        <w:tc>
          <w:tcPr>
            <w:tcW w:w="0" w:type="auto"/>
            <w:hideMark/>
          </w:tcPr>
          <w:p w14:paraId="3940F870" w14:textId="77777777" w:rsidR="007158F2" w:rsidRPr="008C70AB" w:rsidRDefault="007158F2" w:rsidP="008E26E9">
            <w:pPr>
              <w:spacing w:after="160" w:line="278" w:lineRule="auto"/>
            </w:pPr>
            <w:r w:rsidRPr="008C70AB">
              <w:t>Governance and accountability structures</w:t>
            </w:r>
          </w:p>
        </w:tc>
        <w:tc>
          <w:tcPr>
            <w:tcW w:w="0" w:type="auto"/>
            <w:hideMark/>
          </w:tcPr>
          <w:p w14:paraId="0C87B7FC" w14:textId="77777777" w:rsidR="007158F2" w:rsidRPr="008C70AB" w:rsidRDefault="007158F2" w:rsidP="008E26E9">
            <w:pPr>
              <w:spacing w:after="160" w:line="278" w:lineRule="auto"/>
            </w:pPr>
            <w:r w:rsidRPr="008C70AB">
              <w:t>Governance oversight (Gender Equity Group)</w:t>
            </w:r>
          </w:p>
        </w:tc>
        <w:tc>
          <w:tcPr>
            <w:tcW w:w="0" w:type="auto"/>
            <w:hideMark/>
          </w:tcPr>
          <w:p w14:paraId="4DA9E31D" w14:textId="77777777" w:rsidR="007158F2" w:rsidRPr="008C70AB" w:rsidRDefault="007158F2" w:rsidP="008E26E9">
            <w:pPr>
              <w:spacing w:after="160" w:line="278" w:lineRule="auto"/>
            </w:pPr>
            <w:r w:rsidRPr="008C70AB">
              <w:t>3.1</w:t>
            </w:r>
          </w:p>
        </w:tc>
        <w:tc>
          <w:tcPr>
            <w:tcW w:w="0" w:type="auto"/>
            <w:hideMark/>
          </w:tcPr>
          <w:p w14:paraId="097A9B97" w14:textId="77777777" w:rsidR="007158F2" w:rsidRPr="008C70AB" w:rsidRDefault="007158F2" w:rsidP="008E26E9">
            <w:pPr>
              <w:spacing w:after="160" w:line="278" w:lineRule="auto"/>
            </w:pPr>
            <w:r w:rsidRPr="008C70AB">
              <w:t>“Our Gender Equity Group is co-chaired by our Chief Academic Services Officer &amp; University Secretary and Chief People Officer…” (University of Salford, 2024a, p. 8)</w:t>
            </w:r>
          </w:p>
        </w:tc>
      </w:tr>
      <w:tr w:rsidR="007158F2" w:rsidRPr="00C50801" w14:paraId="1800686F" w14:textId="77777777" w:rsidTr="008E26E9">
        <w:tc>
          <w:tcPr>
            <w:tcW w:w="0" w:type="auto"/>
            <w:hideMark/>
          </w:tcPr>
          <w:p w14:paraId="52334D5E" w14:textId="77777777" w:rsidR="007158F2" w:rsidRPr="008C70AB" w:rsidRDefault="007158F2" w:rsidP="008E26E9">
            <w:pPr>
              <w:spacing w:after="160" w:line="278" w:lineRule="auto"/>
            </w:pPr>
            <w:r w:rsidRPr="008C70AB">
              <w:t>RQ1</w:t>
            </w:r>
          </w:p>
        </w:tc>
        <w:tc>
          <w:tcPr>
            <w:tcW w:w="0" w:type="auto"/>
            <w:hideMark/>
          </w:tcPr>
          <w:p w14:paraId="152BE52B" w14:textId="77777777" w:rsidR="007158F2" w:rsidRPr="008C70AB" w:rsidRDefault="007158F2" w:rsidP="008E26E9">
            <w:pPr>
              <w:spacing w:after="160" w:line="278" w:lineRule="auto"/>
            </w:pPr>
            <w:r w:rsidRPr="008C70AB">
              <w:t>Governance and accountability structures</w:t>
            </w:r>
          </w:p>
        </w:tc>
        <w:tc>
          <w:tcPr>
            <w:tcW w:w="0" w:type="auto"/>
            <w:hideMark/>
          </w:tcPr>
          <w:p w14:paraId="50036A2D" w14:textId="77777777" w:rsidR="007158F2" w:rsidRPr="008C70AB" w:rsidRDefault="007158F2" w:rsidP="008E26E9">
            <w:pPr>
              <w:spacing w:after="160" w:line="278" w:lineRule="auto"/>
            </w:pPr>
            <w:r w:rsidRPr="008C70AB">
              <w:t>Robust governance and operating framework</w:t>
            </w:r>
          </w:p>
        </w:tc>
        <w:tc>
          <w:tcPr>
            <w:tcW w:w="0" w:type="auto"/>
            <w:hideMark/>
          </w:tcPr>
          <w:p w14:paraId="2E0D2C19" w14:textId="77777777" w:rsidR="007158F2" w:rsidRPr="008C70AB" w:rsidRDefault="007158F2" w:rsidP="008E26E9">
            <w:pPr>
              <w:spacing w:after="160" w:line="278" w:lineRule="auto"/>
            </w:pPr>
            <w:r w:rsidRPr="008C70AB">
              <w:t>3.1</w:t>
            </w:r>
          </w:p>
        </w:tc>
        <w:tc>
          <w:tcPr>
            <w:tcW w:w="0" w:type="auto"/>
            <w:hideMark/>
          </w:tcPr>
          <w:p w14:paraId="4A617633" w14:textId="77777777" w:rsidR="007158F2" w:rsidRPr="008C70AB" w:rsidRDefault="007158F2" w:rsidP="008E26E9">
            <w:pPr>
              <w:spacing w:after="160" w:line="278" w:lineRule="auto"/>
            </w:pPr>
            <w:r w:rsidRPr="008C70AB">
              <w:t>“</w:t>
            </w:r>
            <w:proofErr w:type="gramStart"/>
            <w:r w:rsidRPr="008C70AB">
              <w:t>through</w:t>
            </w:r>
            <w:proofErr w:type="gramEnd"/>
            <w:r w:rsidRPr="008C70AB">
              <w:t xml:space="preserve"> the implementation of a robust EDI governance and operating framework.” (University of Salford, 2024b, p. 6)</w:t>
            </w:r>
          </w:p>
        </w:tc>
      </w:tr>
      <w:tr w:rsidR="007158F2" w:rsidRPr="00C50801" w14:paraId="1BCB464C" w14:textId="77777777" w:rsidTr="008E26E9">
        <w:tc>
          <w:tcPr>
            <w:tcW w:w="0" w:type="auto"/>
            <w:hideMark/>
          </w:tcPr>
          <w:p w14:paraId="62B31EFF" w14:textId="77777777" w:rsidR="007158F2" w:rsidRPr="008C70AB" w:rsidRDefault="007158F2" w:rsidP="008E26E9">
            <w:pPr>
              <w:spacing w:after="160" w:line="278" w:lineRule="auto"/>
            </w:pPr>
            <w:r w:rsidRPr="008C70AB">
              <w:t>RQ1</w:t>
            </w:r>
          </w:p>
        </w:tc>
        <w:tc>
          <w:tcPr>
            <w:tcW w:w="0" w:type="auto"/>
            <w:hideMark/>
          </w:tcPr>
          <w:p w14:paraId="0CB91114" w14:textId="77777777" w:rsidR="007158F2" w:rsidRPr="008C70AB" w:rsidRDefault="007158F2" w:rsidP="008E26E9">
            <w:pPr>
              <w:spacing w:after="160" w:line="278" w:lineRule="auto"/>
            </w:pPr>
            <w:r w:rsidRPr="008C70AB">
              <w:t>Governance and accountability structures</w:t>
            </w:r>
          </w:p>
        </w:tc>
        <w:tc>
          <w:tcPr>
            <w:tcW w:w="0" w:type="auto"/>
            <w:hideMark/>
          </w:tcPr>
          <w:p w14:paraId="32D0EA15" w14:textId="77777777" w:rsidR="007158F2" w:rsidRPr="008C70AB" w:rsidRDefault="007158F2" w:rsidP="008E26E9">
            <w:pPr>
              <w:spacing w:after="160" w:line="278" w:lineRule="auto"/>
            </w:pPr>
            <w:r w:rsidRPr="008C70AB">
              <w:t>Senior leadership ownership (VC Executive Team)</w:t>
            </w:r>
          </w:p>
        </w:tc>
        <w:tc>
          <w:tcPr>
            <w:tcW w:w="0" w:type="auto"/>
            <w:hideMark/>
          </w:tcPr>
          <w:p w14:paraId="13B0FBDA" w14:textId="77777777" w:rsidR="007158F2" w:rsidRPr="008C70AB" w:rsidRDefault="007158F2" w:rsidP="008E26E9">
            <w:pPr>
              <w:spacing w:after="160" w:line="278" w:lineRule="auto"/>
            </w:pPr>
            <w:r w:rsidRPr="008C70AB">
              <w:t>3.1</w:t>
            </w:r>
          </w:p>
        </w:tc>
        <w:tc>
          <w:tcPr>
            <w:tcW w:w="0" w:type="auto"/>
            <w:hideMark/>
          </w:tcPr>
          <w:p w14:paraId="07BA93F8" w14:textId="77777777" w:rsidR="007158F2" w:rsidRPr="008C70AB" w:rsidRDefault="007158F2" w:rsidP="008E26E9">
            <w:pPr>
              <w:spacing w:after="160" w:line="278" w:lineRule="auto"/>
            </w:pPr>
            <w:r w:rsidRPr="008C70AB">
              <w:t>“This work will be led by our Vice-Chancellor’s Executive Team (VCET) and overseen by the Pro Vice-Chancellor…” (University of Salford, 2024b, p. 6)</w:t>
            </w:r>
          </w:p>
        </w:tc>
      </w:tr>
      <w:tr w:rsidR="007158F2" w:rsidRPr="00C50801" w14:paraId="111A9E0F" w14:textId="77777777" w:rsidTr="008E26E9">
        <w:tc>
          <w:tcPr>
            <w:tcW w:w="0" w:type="auto"/>
            <w:hideMark/>
          </w:tcPr>
          <w:p w14:paraId="605483BC" w14:textId="77777777" w:rsidR="007158F2" w:rsidRPr="008C70AB" w:rsidRDefault="007158F2" w:rsidP="008E26E9">
            <w:pPr>
              <w:spacing w:after="160" w:line="278" w:lineRule="auto"/>
            </w:pPr>
            <w:r w:rsidRPr="008C70AB">
              <w:t>RQ1</w:t>
            </w:r>
          </w:p>
        </w:tc>
        <w:tc>
          <w:tcPr>
            <w:tcW w:w="0" w:type="auto"/>
            <w:hideMark/>
          </w:tcPr>
          <w:p w14:paraId="254EB0FE" w14:textId="77777777" w:rsidR="007158F2" w:rsidRPr="008C70AB" w:rsidRDefault="007158F2" w:rsidP="008E26E9">
            <w:pPr>
              <w:spacing w:after="160" w:line="278" w:lineRule="auto"/>
            </w:pPr>
            <w:r w:rsidRPr="008C70AB">
              <w:t>Governance and accountability structures</w:t>
            </w:r>
          </w:p>
        </w:tc>
        <w:tc>
          <w:tcPr>
            <w:tcW w:w="0" w:type="auto"/>
            <w:hideMark/>
          </w:tcPr>
          <w:p w14:paraId="56E8D71D" w14:textId="77777777" w:rsidR="007158F2" w:rsidRPr="008C70AB" w:rsidRDefault="007158F2" w:rsidP="008E26E9">
            <w:pPr>
              <w:spacing w:after="160" w:line="278" w:lineRule="auto"/>
            </w:pPr>
            <w:r w:rsidRPr="008C70AB">
              <w:t>Concordat governance and reporting line</w:t>
            </w:r>
          </w:p>
        </w:tc>
        <w:tc>
          <w:tcPr>
            <w:tcW w:w="0" w:type="auto"/>
            <w:hideMark/>
          </w:tcPr>
          <w:p w14:paraId="3D916161" w14:textId="77777777" w:rsidR="007158F2" w:rsidRPr="008C70AB" w:rsidRDefault="007158F2" w:rsidP="008E26E9">
            <w:pPr>
              <w:spacing w:after="160" w:line="278" w:lineRule="auto"/>
            </w:pPr>
            <w:r w:rsidRPr="008C70AB">
              <w:t>3.1</w:t>
            </w:r>
          </w:p>
        </w:tc>
        <w:tc>
          <w:tcPr>
            <w:tcW w:w="0" w:type="auto"/>
            <w:hideMark/>
          </w:tcPr>
          <w:p w14:paraId="0D51AB05" w14:textId="77777777" w:rsidR="007158F2" w:rsidRPr="008C70AB" w:rsidRDefault="007158F2" w:rsidP="008E26E9">
            <w:pPr>
              <w:spacing w:after="160" w:line="278" w:lineRule="auto"/>
            </w:pPr>
            <w:r w:rsidRPr="008C70AB">
              <w:t>“Relaunch the Researcher Development Working Group (RDWG) reporting to Research, Enterprise &amp; Innovation Committee (REIC; a committee of University Senate), which also manages our Concordat Action Plan and reporting.” (University of Salford, 2022, p. 1)</w:t>
            </w:r>
          </w:p>
        </w:tc>
      </w:tr>
      <w:tr w:rsidR="007158F2" w:rsidRPr="00C50801" w14:paraId="2EF919D2" w14:textId="77777777" w:rsidTr="008E26E9">
        <w:tc>
          <w:tcPr>
            <w:tcW w:w="0" w:type="auto"/>
            <w:hideMark/>
          </w:tcPr>
          <w:p w14:paraId="452E649D" w14:textId="77777777" w:rsidR="007158F2" w:rsidRPr="008C70AB" w:rsidRDefault="007158F2" w:rsidP="008E26E9">
            <w:pPr>
              <w:spacing w:after="160" w:line="278" w:lineRule="auto"/>
            </w:pPr>
            <w:r w:rsidRPr="008C70AB">
              <w:t>RQ1</w:t>
            </w:r>
          </w:p>
        </w:tc>
        <w:tc>
          <w:tcPr>
            <w:tcW w:w="0" w:type="auto"/>
            <w:hideMark/>
          </w:tcPr>
          <w:p w14:paraId="1FD6B999" w14:textId="77777777" w:rsidR="007158F2" w:rsidRPr="008C70AB" w:rsidRDefault="007158F2" w:rsidP="008E26E9">
            <w:pPr>
              <w:spacing w:after="160" w:line="278" w:lineRule="auto"/>
            </w:pPr>
            <w:r w:rsidRPr="008C70AB">
              <w:t>Inclusive governance practice</w:t>
            </w:r>
          </w:p>
        </w:tc>
        <w:tc>
          <w:tcPr>
            <w:tcW w:w="0" w:type="auto"/>
            <w:hideMark/>
          </w:tcPr>
          <w:p w14:paraId="0B9ADEE7" w14:textId="77777777" w:rsidR="007158F2" w:rsidRPr="008C70AB" w:rsidRDefault="007158F2" w:rsidP="008E26E9">
            <w:pPr>
              <w:spacing w:after="160" w:line="278" w:lineRule="auto"/>
            </w:pPr>
            <w:r w:rsidRPr="008C70AB">
              <w:t>Equality Impact Assessments embedded in decision-making</w:t>
            </w:r>
          </w:p>
        </w:tc>
        <w:tc>
          <w:tcPr>
            <w:tcW w:w="0" w:type="auto"/>
            <w:hideMark/>
          </w:tcPr>
          <w:p w14:paraId="4F65FFDC" w14:textId="77777777" w:rsidR="007158F2" w:rsidRPr="008C70AB" w:rsidRDefault="007158F2" w:rsidP="008E26E9">
            <w:pPr>
              <w:spacing w:after="160" w:line="278" w:lineRule="auto"/>
            </w:pPr>
            <w:r w:rsidRPr="008C70AB">
              <w:t>3.1</w:t>
            </w:r>
          </w:p>
        </w:tc>
        <w:tc>
          <w:tcPr>
            <w:tcW w:w="0" w:type="auto"/>
            <w:hideMark/>
          </w:tcPr>
          <w:p w14:paraId="171580C1" w14:textId="77777777" w:rsidR="007158F2" w:rsidRPr="008C70AB" w:rsidRDefault="007158F2" w:rsidP="008E26E9">
            <w:pPr>
              <w:spacing w:after="160" w:line="278" w:lineRule="auto"/>
            </w:pPr>
            <w:r w:rsidRPr="008C70AB">
              <w:t>“</w:t>
            </w:r>
            <w:proofErr w:type="gramStart"/>
            <w:r w:rsidRPr="008C70AB">
              <w:t>making</w:t>
            </w:r>
            <w:proofErr w:type="gramEnd"/>
            <w:r w:rsidRPr="008C70AB">
              <w:t xml:space="preserve"> Equality Impact Assessments (EIA) more central to the decision-making process.” (University of Salford, 2024b, p. 4)</w:t>
            </w:r>
          </w:p>
        </w:tc>
      </w:tr>
      <w:tr w:rsidR="007158F2" w:rsidRPr="00C50801" w14:paraId="524D777D" w14:textId="77777777" w:rsidTr="008E26E9">
        <w:tc>
          <w:tcPr>
            <w:tcW w:w="0" w:type="auto"/>
            <w:hideMark/>
          </w:tcPr>
          <w:p w14:paraId="25605F7D" w14:textId="77777777" w:rsidR="007158F2" w:rsidRPr="008C70AB" w:rsidRDefault="007158F2" w:rsidP="008E26E9">
            <w:pPr>
              <w:spacing w:after="160" w:line="278" w:lineRule="auto"/>
            </w:pPr>
            <w:r w:rsidRPr="008C70AB">
              <w:t>RQ1</w:t>
            </w:r>
          </w:p>
        </w:tc>
        <w:tc>
          <w:tcPr>
            <w:tcW w:w="0" w:type="auto"/>
            <w:hideMark/>
          </w:tcPr>
          <w:p w14:paraId="7D3BFBD9" w14:textId="77777777" w:rsidR="007158F2" w:rsidRPr="008C70AB" w:rsidRDefault="007158F2" w:rsidP="008E26E9">
            <w:pPr>
              <w:spacing w:after="160" w:line="278" w:lineRule="auto"/>
            </w:pPr>
            <w:r w:rsidRPr="008C70AB">
              <w:t>Accreditation and external frameworks</w:t>
            </w:r>
          </w:p>
        </w:tc>
        <w:tc>
          <w:tcPr>
            <w:tcW w:w="0" w:type="auto"/>
            <w:hideMark/>
          </w:tcPr>
          <w:p w14:paraId="0139B1F1" w14:textId="77777777" w:rsidR="007158F2" w:rsidRPr="008C70AB" w:rsidRDefault="007158F2" w:rsidP="008E26E9">
            <w:pPr>
              <w:spacing w:after="160" w:line="278" w:lineRule="auto"/>
            </w:pPr>
            <w:r w:rsidRPr="008C70AB">
              <w:t>Athena Swan Bronze (gender equality recognition)</w:t>
            </w:r>
          </w:p>
        </w:tc>
        <w:tc>
          <w:tcPr>
            <w:tcW w:w="0" w:type="auto"/>
            <w:hideMark/>
          </w:tcPr>
          <w:p w14:paraId="1D6C12A4" w14:textId="77777777" w:rsidR="007158F2" w:rsidRPr="008C70AB" w:rsidRDefault="007158F2" w:rsidP="008E26E9">
            <w:pPr>
              <w:spacing w:after="160" w:line="278" w:lineRule="auto"/>
            </w:pPr>
            <w:r w:rsidRPr="008C70AB">
              <w:t>3.1</w:t>
            </w:r>
          </w:p>
        </w:tc>
        <w:tc>
          <w:tcPr>
            <w:tcW w:w="0" w:type="auto"/>
            <w:hideMark/>
          </w:tcPr>
          <w:p w14:paraId="5613D7DF" w14:textId="77777777" w:rsidR="007158F2" w:rsidRPr="008C70AB" w:rsidRDefault="007158F2" w:rsidP="008E26E9">
            <w:pPr>
              <w:spacing w:after="160" w:line="278" w:lineRule="auto"/>
            </w:pPr>
            <w:r w:rsidRPr="008C70AB">
              <w:t xml:space="preserve">“The University of Salford became the 100th signatory to the Advance HE’s Athena </w:t>
            </w:r>
            <w:r w:rsidRPr="008C70AB">
              <w:lastRenderedPageBreak/>
              <w:t>SWAN Charter in 2012 and currently holds a bronze level award which recognises our gender equality efforts.” (University of Salford, 2024a p. 8)</w:t>
            </w:r>
          </w:p>
        </w:tc>
      </w:tr>
      <w:tr w:rsidR="007158F2" w:rsidRPr="00C50801" w14:paraId="53DFBFFD" w14:textId="77777777" w:rsidTr="008E26E9">
        <w:tc>
          <w:tcPr>
            <w:tcW w:w="0" w:type="auto"/>
            <w:hideMark/>
          </w:tcPr>
          <w:p w14:paraId="00EDE71B" w14:textId="77777777" w:rsidR="007158F2" w:rsidRPr="008C70AB" w:rsidRDefault="007158F2" w:rsidP="008E26E9">
            <w:pPr>
              <w:spacing w:after="160" w:line="278" w:lineRule="auto"/>
            </w:pPr>
            <w:r w:rsidRPr="008C70AB">
              <w:lastRenderedPageBreak/>
              <w:t>RQ1</w:t>
            </w:r>
          </w:p>
        </w:tc>
        <w:tc>
          <w:tcPr>
            <w:tcW w:w="0" w:type="auto"/>
            <w:hideMark/>
          </w:tcPr>
          <w:p w14:paraId="41C7B17A" w14:textId="77777777" w:rsidR="007158F2" w:rsidRPr="008C70AB" w:rsidRDefault="007158F2" w:rsidP="008E26E9">
            <w:pPr>
              <w:spacing w:after="160" w:line="278" w:lineRule="auto"/>
            </w:pPr>
            <w:r w:rsidRPr="008C70AB">
              <w:t>Leadership and mentoring initiatives</w:t>
            </w:r>
          </w:p>
        </w:tc>
        <w:tc>
          <w:tcPr>
            <w:tcW w:w="0" w:type="auto"/>
            <w:hideMark/>
          </w:tcPr>
          <w:p w14:paraId="24F077C7" w14:textId="77777777" w:rsidR="007158F2" w:rsidRPr="008C70AB" w:rsidRDefault="007158F2" w:rsidP="008E26E9">
            <w:pPr>
              <w:spacing w:after="160" w:line="278" w:lineRule="auto"/>
            </w:pPr>
            <w:r w:rsidRPr="008C70AB">
              <w:t>Women’s leadership development (Aurora)</w:t>
            </w:r>
          </w:p>
        </w:tc>
        <w:tc>
          <w:tcPr>
            <w:tcW w:w="0" w:type="auto"/>
            <w:hideMark/>
          </w:tcPr>
          <w:p w14:paraId="382FE629" w14:textId="77777777" w:rsidR="007158F2" w:rsidRPr="008C70AB" w:rsidRDefault="007158F2" w:rsidP="008E26E9">
            <w:pPr>
              <w:spacing w:after="160" w:line="278" w:lineRule="auto"/>
            </w:pPr>
            <w:r w:rsidRPr="008C70AB">
              <w:t>3.1</w:t>
            </w:r>
          </w:p>
        </w:tc>
        <w:tc>
          <w:tcPr>
            <w:tcW w:w="0" w:type="auto"/>
            <w:hideMark/>
          </w:tcPr>
          <w:p w14:paraId="209D76B5" w14:textId="77777777" w:rsidR="007158F2" w:rsidRPr="008C70AB" w:rsidRDefault="007158F2" w:rsidP="008E26E9">
            <w:pPr>
              <w:spacing w:after="160" w:line="278" w:lineRule="auto"/>
            </w:pPr>
            <w:r w:rsidRPr="008C70AB">
              <w:t>“Continued support for the Aurora programme (Women into Leadership)” (University of Salford, 2024a, p. 11)</w:t>
            </w:r>
          </w:p>
        </w:tc>
      </w:tr>
      <w:tr w:rsidR="007158F2" w:rsidRPr="00C50801" w14:paraId="6B4A256F" w14:textId="77777777" w:rsidTr="008E26E9">
        <w:tc>
          <w:tcPr>
            <w:tcW w:w="0" w:type="auto"/>
            <w:hideMark/>
          </w:tcPr>
          <w:p w14:paraId="49D53CA1" w14:textId="77777777" w:rsidR="007158F2" w:rsidRPr="008C70AB" w:rsidRDefault="007158F2" w:rsidP="008E26E9">
            <w:pPr>
              <w:spacing w:after="160" w:line="278" w:lineRule="auto"/>
            </w:pPr>
            <w:r w:rsidRPr="008C70AB">
              <w:t>RQ1</w:t>
            </w:r>
          </w:p>
        </w:tc>
        <w:tc>
          <w:tcPr>
            <w:tcW w:w="0" w:type="auto"/>
            <w:hideMark/>
          </w:tcPr>
          <w:p w14:paraId="1483BFA9" w14:textId="77777777" w:rsidR="007158F2" w:rsidRPr="008C70AB" w:rsidRDefault="007158F2" w:rsidP="008E26E9">
            <w:pPr>
              <w:spacing w:after="160" w:line="278" w:lineRule="auto"/>
            </w:pPr>
            <w:r w:rsidRPr="008C70AB">
              <w:t>Leadership and mentoring initiatives</w:t>
            </w:r>
          </w:p>
        </w:tc>
        <w:tc>
          <w:tcPr>
            <w:tcW w:w="0" w:type="auto"/>
            <w:hideMark/>
          </w:tcPr>
          <w:p w14:paraId="1D5C81B3" w14:textId="77777777" w:rsidR="007158F2" w:rsidRPr="008C70AB" w:rsidRDefault="007158F2" w:rsidP="008E26E9">
            <w:pPr>
              <w:spacing w:after="160" w:line="278" w:lineRule="auto"/>
            </w:pPr>
            <w:r w:rsidRPr="008C70AB">
              <w:t>Leadership development workshops (ECRs)</w:t>
            </w:r>
          </w:p>
        </w:tc>
        <w:tc>
          <w:tcPr>
            <w:tcW w:w="0" w:type="auto"/>
            <w:hideMark/>
          </w:tcPr>
          <w:p w14:paraId="00E87890" w14:textId="77777777" w:rsidR="007158F2" w:rsidRPr="008C70AB" w:rsidRDefault="007158F2" w:rsidP="008E26E9">
            <w:pPr>
              <w:spacing w:after="160" w:line="278" w:lineRule="auto"/>
            </w:pPr>
            <w:r w:rsidRPr="008C70AB">
              <w:t>3.1</w:t>
            </w:r>
          </w:p>
        </w:tc>
        <w:tc>
          <w:tcPr>
            <w:tcW w:w="0" w:type="auto"/>
            <w:hideMark/>
          </w:tcPr>
          <w:p w14:paraId="7165D931" w14:textId="77777777" w:rsidR="007158F2" w:rsidRPr="008C70AB" w:rsidRDefault="007158F2" w:rsidP="008E26E9">
            <w:pPr>
              <w:spacing w:after="160" w:line="278" w:lineRule="auto"/>
            </w:pPr>
            <w:r w:rsidRPr="008C70AB">
              <w:t>“Provide leadership development workshops for ECRs consisting of individual and peer-group activities on an annual basis.” (University of Salford, 2022, p. 4)</w:t>
            </w:r>
          </w:p>
        </w:tc>
      </w:tr>
      <w:tr w:rsidR="007158F2" w:rsidRPr="00C50801" w14:paraId="79A9587B" w14:textId="77777777" w:rsidTr="008E26E9">
        <w:tc>
          <w:tcPr>
            <w:tcW w:w="0" w:type="auto"/>
            <w:hideMark/>
          </w:tcPr>
          <w:p w14:paraId="168B09A4" w14:textId="77777777" w:rsidR="007158F2" w:rsidRPr="008C70AB" w:rsidRDefault="007158F2" w:rsidP="008E26E9">
            <w:pPr>
              <w:spacing w:after="160" w:line="278" w:lineRule="auto"/>
            </w:pPr>
            <w:r w:rsidRPr="008C70AB">
              <w:t>RQ1</w:t>
            </w:r>
          </w:p>
        </w:tc>
        <w:tc>
          <w:tcPr>
            <w:tcW w:w="0" w:type="auto"/>
            <w:hideMark/>
          </w:tcPr>
          <w:p w14:paraId="6EFD84DC" w14:textId="77777777" w:rsidR="007158F2" w:rsidRPr="008C70AB" w:rsidRDefault="007158F2" w:rsidP="008E26E9">
            <w:pPr>
              <w:spacing w:after="160" w:line="278" w:lineRule="auto"/>
            </w:pPr>
            <w:r w:rsidRPr="008C70AB">
              <w:t>Leadership and mentoring initiatives</w:t>
            </w:r>
          </w:p>
        </w:tc>
        <w:tc>
          <w:tcPr>
            <w:tcW w:w="0" w:type="auto"/>
            <w:hideMark/>
          </w:tcPr>
          <w:p w14:paraId="0EDED32D" w14:textId="77777777" w:rsidR="007158F2" w:rsidRPr="008C70AB" w:rsidRDefault="007158F2" w:rsidP="008E26E9">
            <w:pPr>
              <w:spacing w:after="160" w:line="278" w:lineRule="auto"/>
            </w:pPr>
            <w:r w:rsidRPr="008C70AB">
              <w:t>Targeted mentoring programmes</w:t>
            </w:r>
          </w:p>
        </w:tc>
        <w:tc>
          <w:tcPr>
            <w:tcW w:w="0" w:type="auto"/>
            <w:hideMark/>
          </w:tcPr>
          <w:p w14:paraId="15582484" w14:textId="77777777" w:rsidR="007158F2" w:rsidRPr="008C70AB" w:rsidRDefault="007158F2" w:rsidP="008E26E9">
            <w:pPr>
              <w:spacing w:after="160" w:line="278" w:lineRule="auto"/>
            </w:pPr>
            <w:r w:rsidRPr="008C70AB">
              <w:t>3.1</w:t>
            </w:r>
          </w:p>
        </w:tc>
        <w:tc>
          <w:tcPr>
            <w:tcW w:w="0" w:type="auto"/>
            <w:hideMark/>
          </w:tcPr>
          <w:p w14:paraId="717D9426" w14:textId="77777777" w:rsidR="007158F2" w:rsidRPr="008C70AB" w:rsidRDefault="007158F2" w:rsidP="008E26E9">
            <w:pPr>
              <w:spacing w:after="160" w:line="278" w:lineRule="auto"/>
            </w:pPr>
            <w:r w:rsidRPr="008C70AB">
              <w:t>“Targeted mentoring and scholarship programmes that aim to address under-representation…” (University of Salford, 2024b, p. 4)</w:t>
            </w:r>
          </w:p>
        </w:tc>
      </w:tr>
      <w:tr w:rsidR="007158F2" w:rsidRPr="00C50801" w14:paraId="08AEDC11" w14:textId="77777777" w:rsidTr="008E26E9">
        <w:tc>
          <w:tcPr>
            <w:tcW w:w="0" w:type="auto"/>
            <w:hideMark/>
          </w:tcPr>
          <w:p w14:paraId="70B46F6D" w14:textId="77777777" w:rsidR="007158F2" w:rsidRPr="008C70AB" w:rsidRDefault="007158F2" w:rsidP="008E26E9">
            <w:pPr>
              <w:spacing w:after="160" w:line="278" w:lineRule="auto"/>
            </w:pPr>
            <w:r w:rsidRPr="008C70AB">
              <w:t>RQ1</w:t>
            </w:r>
          </w:p>
        </w:tc>
        <w:tc>
          <w:tcPr>
            <w:tcW w:w="0" w:type="auto"/>
            <w:hideMark/>
          </w:tcPr>
          <w:p w14:paraId="55239578" w14:textId="77777777" w:rsidR="007158F2" w:rsidRPr="008C70AB" w:rsidRDefault="007158F2" w:rsidP="008E26E9">
            <w:pPr>
              <w:spacing w:after="160" w:line="278" w:lineRule="auto"/>
            </w:pPr>
            <w:r w:rsidRPr="008C70AB">
              <w:t>Mentoring and targeted support initiatives</w:t>
            </w:r>
          </w:p>
        </w:tc>
        <w:tc>
          <w:tcPr>
            <w:tcW w:w="0" w:type="auto"/>
            <w:hideMark/>
          </w:tcPr>
          <w:p w14:paraId="5129F396" w14:textId="77777777" w:rsidR="007158F2" w:rsidRPr="008C70AB" w:rsidRDefault="007158F2" w:rsidP="008E26E9">
            <w:pPr>
              <w:spacing w:after="160" w:line="278" w:lineRule="auto"/>
            </w:pPr>
            <w:r w:rsidRPr="008C70AB">
              <w:t>Mentoring/peer mentoring (buddy scheme)</w:t>
            </w:r>
          </w:p>
        </w:tc>
        <w:tc>
          <w:tcPr>
            <w:tcW w:w="0" w:type="auto"/>
            <w:hideMark/>
          </w:tcPr>
          <w:p w14:paraId="517296E9" w14:textId="77777777" w:rsidR="007158F2" w:rsidRPr="008C70AB" w:rsidRDefault="007158F2" w:rsidP="008E26E9">
            <w:pPr>
              <w:spacing w:after="160" w:line="278" w:lineRule="auto"/>
            </w:pPr>
            <w:r w:rsidRPr="008C70AB">
              <w:t>3.1</w:t>
            </w:r>
          </w:p>
        </w:tc>
        <w:tc>
          <w:tcPr>
            <w:tcW w:w="0" w:type="auto"/>
            <w:hideMark/>
          </w:tcPr>
          <w:p w14:paraId="3414452F" w14:textId="77777777" w:rsidR="007158F2" w:rsidRPr="008C70AB" w:rsidRDefault="007158F2" w:rsidP="008E26E9">
            <w:pPr>
              <w:spacing w:after="160" w:line="278" w:lineRule="auto"/>
            </w:pPr>
            <w:r w:rsidRPr="008C70AB">
              <w:t>“Pilot a researcher buddy scheme with all new researchers to enable peer mentoring through the ECR network via the buddy scheme.” (University of Salford, 2022, p. 1)</w:t>
            </w:r>
          </w:p>
        </w:tc>
      </w:tr>
      <w:tr w:rsidR="007158F2" w:rsidRPr="00C50801" w14:paraId="085236D0" w14:textId="77777777" w:rsidTr="008E26E9">
        <w:tc>
          <w:tcPr>
            <w:tcW w:w="0" w:type="auto"/>
            <w:hideMark/>
          </w:tcPr>
          <w:p w14:paraId="373D304C" w14:textId="77777777" w:rsidR="007158F2" w:rsidRPr="008C70AB" w:rsidRDefault="007158F2" w:rsidP="008E26E9">
            <w:pPr>
              <w:spacing w:after="160" w:line="278" w:lineRule="auto"/>
            </w:pPr>
            <w:r w:rsidRPr="008C70AB">
              <w:t>RQ1</w:t>
            </w:r>
          </w:p>
        </w:tc>
        <w:tc>
          <w:tcPr>
            <w:tcW w:w="0" w:type="auto"/>
            <w:hideMark/>
          </w:tcPr>
          <w:p w14:paraId="4172AF52" w14:textId="77777777" w:rsidR="007158F2" w:rsidRPr="008C70AB" w:rsidRDefault="007158F2" w:rsidP="008E26E9">
            <w:pPr>
              <w:spacing w:after="160" w:line="278" w:lineRule="auto"/>
            </w:pPr>
            <w:r w:rsidRPr="008C70AB">
              <w:t>Mentoring and targeted support initiatives</w:t>
            </w:r>
          </w:p>
        </w:tc>
        <w:tc>
          <w:tcPr>
            <w:tcW w:w="0" w:type="auto"/>
            <w:hideMark/>
          </w:tcPr>
          <w:p w14:paraId="67BCC337" w14:textId="77777777" w:rsidR="007158F2" w:rsidRPr="008C70AB" w:rsidRDefault="007158F2" w:rsidP="008E26E9">
            <w:pPr>
              <w:spacing w:after="160" w:line="278" w:lineRule="auto"/>
            </w:pPr>
            <w:r w:rsidRPr="008C70AB">
              <w:t>Targeted initiatives (ECR/returners funding)</w:t>
            </w:r>
          </w:p>
        </w:tc>
        <w:tc>
          <w:tcPr>
            <w:tcW w:w="0" w:type="auto"/>
            <w:hideMark/>
          </w:tcPr>
          <w:p w14:paraId="4F99FA6F" w14:textId="77777777" w:rsidR="007158F2" w:rsidRPr="008C70AB" w:rsidRDefault="007158F2" w:rsidP="008E26E9">
            <w:pPr>
              <w:spacing w:after="160" w:line="278" w:lineRule="auto"/>
            </w:pPr>
            <w:r w:rsidRPr="008C70AB">
              <w:t>3.1</w:t>
            </w:r>
          </w:p>
        </w:tc>
        <w:tc>
          <w:tcPr>
            <w:tcW w:w="0" w:type="auto"/>
            <w:hideMark/>
          </w:tcPr>
          <w:p w14:paraId="61294BEA" w14:textId="77777777" w:rsidR="007158F2" w:rsidRPr="008C70AB" w:rsidRDefault="007158F2" w:rsidP="008E26E9">
            <w:pPr>
              <w:spacing w:after="160" w:line="278" w:lineRule="auto"/>
            </w:pPr>
            <w:r w:rsidRPr="008C70AB">
              <w:t xml:space="preserve">“Provide annual calls for funding specifically targeted to ECR/returners to research (e.g. Reignite your </w:t>
            </w:r>
            <w:proofErr w:type="gramStart"/>
            <w:r w:rsidRPr="008C70AB">
              <w:t>Research)…</w:t>
            </w:r>
            <w:proofErr w:type="gramEnd"/>
            <w:r w:rsidRPr="008C70AB">
              <w:t>” (University of Salford, 2022, p. 2)</w:t>
            </w:r>
          </w:p>
        </w:tc>
      </w:tr>
      <w:tr w:rsidR="007158F2" w:rsidRPr="00C50801" w14:paraId="180EC19C" w14:textId="77777777" w:rsidTr="008E26E9">
        <w:tc>
          <w:tcPr>
            <w:tcW w:w="0" w:type="auto"/>
            <w:hideMark/>
          </w:tcPr>
          <w:p w14:paraId="550D8521" w14:textId="77777777" w:rsidR="007158F2" w:rsidRPr="008C70AB" w:rsidRDefault="007158F2" w:rsidP="008E26E9">
            <w:pPr>
              <w:spacing w:after="160" w:line="278" w:lineRule="auto"/>
            </w:pPr>
            <w:r w:rsidRPr="008C70AB">
              <w:lastRenderedPageBreak/>
              <w:t>RQ1</w:t>
            </w:r>
          </w:p>
        </w:tc>
        <w:tc>
          <w:tcPr>
            <w:tcW w:w="0" w:type="auto"/>
            <w:hideMark/>
          </w:tcPr>
          <w:p w14:paraId="02B92C57" w14:textId="77777777" w:rsidR="007158F2" w:rsidRPr="008C70AB" w:rsidRDefault="007158F2" w:rsidP="008E26E9">
            <w:pPr>
              <w:spacing w:after="160" w:line="278" w:lineRule="auto"/>
            </w:pPr>
            <w:r w:rsidRPr="008C70AB">
              <w:t>Flexible working and supportive practices</w:t>
            </w:r>
          </w:p>
        </w:tc>
        <w:tc>
          <w:tcPr>
            <w:tcW w:w="0" w:type="auto"/>
            <w:hideMark/>
          </w:tcPr>
          <w:p w14:paraId="14E6C7EC" w14:textId="77777777" w:rsidR="007158F2" w:rsidRPr="008C70AB" w:rsidRDefault="007158F2" w:rsidP="008E26E9">
            <w:pPr>
              <w:spacing w:after="160" w:line="278" w:lineRule="auto"/>
            </w:pPr>
            <w:r w:rsidRPr="008C70AB">
              <w:t>Flexible working requests (explicit)</w:t>
            </w:r>
          </w:p>
        </w:tc>
        <w:tc>
          <w:tcPr>
            <w:tcW w:w="0" w:type="auto"/>
            <w:hideMark/>
          </w:tcPr>
          <w:p w14:paraId="749052B2" w14:textId="77777777" w:rsidR="007158F2" w:rsidRPr="008C70AB" w:rsidRDefault="007158F2" w:rsidP="008E26E9">
            <w:pPr>
              <w:spacing w:after="160" w:line="278" w:lineRule="auto"/>
            </w:pPr>
            <w:r w:rsidRPr="008C70AB">
              <w:t>3.1</w:t>
            </w:r>
          </w:p>
        </w:tc>
        <w:tc>
          <w:tcPr>
            <w:tcW w:w="0" w:type="auto"/>
            <w:hideMark/>
          </w:tcPr>
          <w:p w14:paraId="5FC15CB7" w14:textId="77777777" w:rsidR="007158F2" w:rsidRPr="008C70AB" w:rsidRDefault="007158F2" w:rsidP="008E26E9">
            <w:pPr>
              <w:spacing w:after="160" w:line="278" w:lineRule="auto"/>
            </w:pPr>
            <w:r w:rsidRPr="008C70AB">
              <w:t>“Ensure managers consider fully flexible working requests and other appropriate arrangements to support researchers.” (University of Salford, 2022, p. 1)</w:t>
            </w:r>
          </w:p>
        </w:tc>
      </w:tr>
      <w:tr w:rsidR="007158F2" w:rsidRPr="00C50801" w14:paraId="074831C4" w14:textId="77777777" w:rsidTr="008E26E9">
        <w:tc>
          <w:tcPr>
            <w:tcW w:w="0" w:type="auto"/>
            <w:hideMark/>
          </w:tcPr>
          <w:p w14:paraId="09262B15" w14:textId="77777777" w:rsidR="007158F2" w:rsidRPr="008C70AB" w:rsidRDefault="007158F2" w:rsidP="008E26E9">
            <w:pPr>
              <w:spacing w:after="160" w:line="278" w:lineRule="auto"/>
            </w:pPr>
            <w:r w:rsidRPr="008C70AB">
              <w:t>RQ1</w:t>
            </w:r>
          </w:p>
        </w:tc>
        <w:tc>
          <w:tcPr>
            <w:tcW w:w="0" w:type="auto"/>
            <w:hideMark/>
          </w:tcPr>
          <w:p w14:paraId="184F7AF4" w14:textId="77777777" w:rsidR="007158F2" w:rsidRPr="008C70AB" w:rsidRDefault="007158F2" w:rsidP="008E26E9">
            <w:pPr>
              <w:spacing w:after="160" w:line="278" w:lineRule="auto"/>
            </w:pPr>
            <w:r w:rsidRPr="008C70AB">
              <w:t>Workforce flexibility and retention</w:t>
            </w:r>
          </w:p>
        </w:tc>
        <w:tc>
          <w:tcPr>
            <w:tcW w:w="0" w:type="auto"/>
            <w:hideMark/>
          </w:tcPr>
          <w:p w14:paraId="3C2CB091" w14:textId="77777777" w:rsidR="007158F2" w:rsidRPr="008C70AB" w:rsidRDefault="007158F2" w:rsidP="008E26E9">
            <w:pPr>
              <w:spacing w:after="160" w:line="278" w:lineRule="auto"/>
            </w:pPr>
            <w:r w:rsidRPr="008C70AB">
              <w:t>Agile working principles</w:t>
            </w:r>
          </w:p>
        </w:tc>
        <w:tc>
          <w:tcPr>
            <w:tcW w:w="0" w:type="auto"/>
            <w:hideMark/>
          </w:tcPr>
          <w:p w14:paraId="197E80EC" w14:textId="77777777" w:rsidR="007158F2" w:rsidRPr="008C70AB" w:rsidRDefault="007158F2" w:rsidP="008E26E9">
            <w:pPr>
              <w:spacing w:after="160" w:line="278" w:lineRule="auto"/>
            </w:pPr>
            <w:r w:rsidRPr="008C70AB">
              <w:t>3.1</w:t>
            </w:r>
          </w:p>
        </w:tc>
        <w:tc>
          <w:tcPr>
            <w:tcW w:w="0" w:type="auto"/>
            <w:hideMark/>
          </w:tcPr>
          <w:p w14:paraId="252493D6" w14:textId="77777777" w:rsidR="007158F2" w:rsidRPr="008C70AB" w:rsidRDefault="007158F2" w:rsidP="008E26E9">
            <w:pPr>
              <w:spacing w:after="160" w:line="278" w:lineRule="auto"/>
            </w:pPr>
            <w:r w:rsidRPr="008C70AB">
              <w:t>“Our Ways of Working Principles introduced in 2021 set out our principles to achieve a more agile working environment…” (University of Salford, 2024a, p. 11)</w:t>
            </w:r>
          </w:p>
        </w:tc>
      </w:tr>
      <w:tr w:rsidR="007158F2" w:rsidRPr="00C50801" w14:paraId="3630B559" w14:textId="77777777" w:rsidTr="008E26E9">
        <w:tc>
          <w:tcPr>
            <w:tcW w:w="0" w:type="auto"/>
            <w:hideMark/>
          </w:tcPr>
          <w:p w14:paraId="77A9E871" w14:textId="77777777" w:rsidR="007158F2" w:rsidRPr="008C70AB" w:rsidRDefault="007158F2" w:rsidP="008E26E9">
            <w:pPr>
              <w:spacing w:after="160" w:line="278" w:lineRule="auto"/>
            </w:pPr>
            <w:r w:rsidRPr="008C70AB">
              <w:t>RQ1</w:t>
            </w:r>
          </w:p>
        </w:tc>
        <w:tc>
          <w:tcPr>
            <w:tcW w:w="0" w:type="auto"/>
            <w:hideMark/>
          </w:tcPr>
          <w:p w14:paraId="4C4738C0" w14:textId="77777777" w:rsidR="007158F2" w:rsidRPr="008C70AB" w:rsidRDefault="007158F2" w:rsidP="008E26E9">
            <w:pPr>
              <w:spacing w:after="160" w:line="278" w:lineRule="auto"/>
            </w:pPr>
            <w:r w:rsidRPr="008C70AB">
              <w:t>Monitoring and transparency mechanisms</w:t>
            </w:r>
          </w:p>
        </w:tc>
        <w:tc>
          <w:tcPr>
            <w:tcW w:w="0" w:type="auto"/>
            <w:hideMark/>
          </w:tcPr>
          <w:p w14:paraId="635907C6" w14:textId="77777777" w:rsidR="007158F2" w:rsidRPr="008C70AB" w:rsidRDefault="007158F2" w:rsidP="008E26E9">
            <w:pPr>
              <w:spacing w:after="160" w:line="278" w:lineRule="auto"/>
            </w:pPr>
            <w:r w:rsidRPr="008C70AB">
              <w:t>Annual review using intersectional lens</w:t>
            </w:r>
          </w:p>
        </w:tc>
        <w:tc>
          <w:tcPr>
            <w:tcW w:w="0" w:type="auto"/>
            <w:hideMark/>
          </w:tcPr>
          <w:p w14:paraId="698C1197" w14:textId="77777777" w:rsidR="007158F2" w:rsidRPr="008C70AB" w:rsidRDefault="007158F2" w:rsidP="008E26E9">
            <w:pPr>
              <w:spacing w:after="160" w:line="278" w:lineRule="auto"/>
            </w:pPr>
            <w:r w:rsidRPr="008C70AB">
              <w:t>3.1</w:t>
            </w:r>
          </w:p>
        </w:tc>
        <w:tc>
          <w:tcPr>
            <w:tcW w:w="0" w:type="auto"/>
            <w:hideMark/>
          </w:tcPr>
          <w:p w14:paraId="3D8BC5D1" w14:textId="77777777" w:rsidR="007158F2" w:rsidRPr="008C70AB" w:rsidRDefault="007158F2" w:rsidP="008E26E9">
            <w:pPr>
              <w:spacing w:after="160" w:line="278" w:lineRule="auto"/>
            </w:pPr>
            <w:r w:rsidRPr="008C70AB">
              <w:t>“Reviewing all goals annually using an intersectional lens…” (University of Salford, 2024b, p. 5)</w:t>
            </w:r>
          </w:p>
        </w:tc>
      </w:tr>
      <w:tr w:rsidR="007158F2" w:rsidRPr="00C50801" w14:paraId="38C26818" w14:textId="77777777" w:rsidTr="008E26E9">
        <w:tc>
          <w:tcPr>
            <w:tcW w:w="0" w:type="auto"/>
            <w:hideMark/>
          </w:tcPr>
          <w:p w14:paraId="05A9E9AF" w14:textId="77777777" w:rsidR="007158F2" w:rsidRPr="008C70AB" w:rsidRDefault="007158F2" w:rsidP="008E26E9">
            <w:pPr>
              <w:spacing w:after="160" w:line="278" w:lineRule="auto"/>
            </w:pPr>
            <w:r w:rsidRPr="008C70AB">
              <w:t>RQ1</w:t>
            </w:r>
          </w:p>
        </w:tc>
        <w:tc>
          <w:tcPr>
            <w:tcW w:w="0" w:type="auto"/>
            <w:hideMark/>
          </w:tcPr>
          <w:p w14:paraId="62768396" w14:textId="77777777" w:rsidR="007158F2" w:rsidRPr="008C70AB" w:rsidRDefault="007158F2" w:rsidP="008E26E9">
            <w:pPr>
              <w:spacing w:after="160" w:line="278" w:lineRule="auto"/>
            </w:pPr>
            <w:r w:rsidRPr="008C70AB">
              <w:t>Monitoring and transparency mechanisms</w:t>
            </w:r>
          </w:p>
        </w:tc>
        <w:tc>
          <w:tcPr>
            <w:tcW w:w="0" w:type="auto"/>
            <w:hideMark/>
          </w:tcPr>
          <w:p w14:paraId="77A3075A" w14:textId="77777777" w:rsidR="007158F2" w:rsidRPr="008C70AB" w:rsidRDefault="007158F2" w:rsidP="008E26E9">
            <w:pPr>
              <w:spacing w:after="160" w:line="278" w:lineRule="auto"/>
            </w:pPr>
            <w:r w:rsidRPr="008C70AB">
              <w:t>Annual internal audits and reporting</w:t>
            </w:r>
          </w:p>
        </w:tc>
        <w:tc>
          <w:tcPr>
            <w:tcW w:w="0" w:type="auto"/>
            <w:hideMark/>
          </w:tcPr>
          <w:p w14:paraId="445DFD2F" w14:textId="77777777" w:rsidR="007158F2" w:rsidRPr="008C70AB" w:rsidRDefault="007158F2" w:rsidP="008E26E9">
            <w:pPr>
              <w:spacing w:after="160" w:line="278" w:lineRule="auto"/>
            </w:pPr>
            <w:r w:rsidRPr="008C70AB">
              <w:t>3.1</w:t>
            </w:r>
          </w:p>
        </w:tc>
        <w:tc>
          <w:tcPr>
            <w:tcW w:w="0" w:type="auto"/>
            <w:hideMark/>
          </w:tcPr>
          <w:p w14:paraId="64C6C6B8" w14:textId="77777777" w:rsidR="007158F2" w:rsidRPr="008C70AB" w:rsidRDefault="007158F2" w:rsidP="008E26E9">
            <w:pPr>
              <w:spacing w:after="160" w:line="278" w:lineRule="auto"/>
            </w:pPr>
            <w:r w:rsidRPr="008C70AB">
              <w:t>“Including annual internal audits shared on the EDI HUB and through the governance framework.” (University of Salford, 2024b, p. 5)</w:t>
            </w:r>
          </w:p>
        </w:tc>
      </w:tr>
      <w:tr w:rsidR="007158F2" w:rsidRPr="00C50801" w14:paraId="40E96EFC" w14:textId="77777777" w:rsidTr="008E26E9">
        <w:tc>
          <w:tcPr>
            <w:tcW w:w="0" w:type="auto"/>
            <w:hideMark/>
          </w:tcPr>
          <w:p w14:paraId="1520461A" w14:textId="77777777" w:rsidR="007158F2" w:rsidRPr="008C70AB" w:rsidRDefault="007158F2" w:rsidP="008E26E9">
            <w:pPr>
              <w:spacing w:after="160" w:line="278" w:lineRule="auto"/>
            </w:pPr>
            <w:r w:rsidRPr="008C70AB">
              <w:t>RQ1</w:t>
            </w:r>
          </w:p>
        </w:tc>
        <w:tc>
          <w:tcPr>
            <w:tcW w:w="0" w:type="auto"/>
            <w:hideMark/>
          </w:tcPr>
          <w:p w14:paraId="122DFDB5" w14:textId="77777777" w:rsidR="007158F2" w:rsidRPr="008C70AB" w:rsidRDefault="007158F2" w:rsidP="008E26E9">
            <w:pPr>
              <w:spacing w:after="160" w:line="278" w:lineRule="auto"/>
            </w:pPr>
            <w:r w:rsidRPr="008C70AB">
              <w:t>Ongoing review and monitoring</w:t>
            </w:r>
          </w:p>
        </w:tc>
        <w:tc>
          <w:tcPr>
            <w:tcW w:w="0" w:type="auto"/>
            <w:hideMark/>
          </w:tcPr>
          <w:p w14:paraId="096ACD51" w14:textId="77777777" w:rsidR="007158F2" w:rsidRPr="008C70AB" w:rsidRDefault="007158F2" w:rsidP="008E26E9">
            <w:pPr>
              <w:spacing w:after="160" w:line="278" w:lineRule="auto"/>
            </w:pPr>
            <w:r w:rsidRPr="008C70AB">
              <w:t>Monitoring progress through governance framework</w:t>
            </w:r>
          </w:p>
        </w:tc>
        <w:tc>
          <w:tcPr>
            <w:tcW w:w="0" w:type="auto"/>
            <w:hideMark/>
          </w:tcPr>
          <w:p w14:paraId="6153579E" w14:textId="77777777" w:rsidR="007158F2" w:rsidRPr="008C70AB" w:rsidRDefault="007158F2" w:rsidP="008E26E9">
            <w:pPr>
              <w:spacing w:after="160" w:line="278" w:lineRule="auto"/>
            </w:pPr>
            <w:r w:rsidRPr="008C70AB">
              <w:t>3.1</w:t>
            </w:r>
          </w:p>
        </w:tc>
        <w:tc>
          <w:tcPr>
            <w:tcW w:w="0" w:type="auto"/>
            <w:hideMark/>
          </w:tcPr>
          <w:p w14:paraId="55553545" w14:textId="77777777" w:rsidR="007158F2" w:rsidRPr="008C70AB" w:rsidRDefault="007158F2" w:rsidP="008E26E9">
            <w:pPr>
              <w:spacing w:after="160" w:line="278" w:lineRule="auto"/>
            </w:pPr>
            <w:r w:rsidRPr="008C70AB">
              <w:t>“We will continue to review and monitor progress against these actions through our EDI Governance and Operating Framework.” (University of Salford, 2024a, p. 11)</w:t>
            </w:r>
          </w:p>
        </w:tc>
      </w:tr>
      <w:tr w:rsidR="007158F2" w:rsidRPr="00C50801" w14:paraId="7C8A61F3" w14:textId="77777777" w:rsidTr="008E26E9">
        <w:tc>
          <w:tcPr>
            <w:tcW w:w="0" w:type="auto"/>
            <w:hideMark/>
          </w:tcPr>
          <w:p w14:paraId="565387FF" w14:textId="77777777" w:rsidR="007158F2" w:rsidRPr="008C70AB" w:rsidRDefault="007158F2" w:rsidP="008E26E9">
            <w:pPr>
              <w:spacing w:after="160" w:line="278" w:lineRule="auto"/>
            </w:pPr>
            <w:r w:rsidRPr="008C70AB">
              <w:t>RQ1</w:t>
            </w:r>
          </w:p>
        </w:tc>
        <w:tc>
          <w:tcPr>
            <w:tcW w:w="0" w:type="auto"/>
            <w:hideMark/>
          </w:tcPr>
          <w:p w14:paraId="5D95224B" w14:textId="77777777" w:rsidR="007158F2" w:rsidRPr="008C70AB" w:rsidRDefault="007158F2" w:rsidP="008E26E9">
            <w:pPr>
              <w:spacing w:after="160" w:line="278" w:lineRule="auto"/>
            </w:pPr>
            <w:r w:rsidRPr="008C70AB">
              <w:t>Concordat-aligned strategic delivery</w:t>
            </w:r>
          </w:p>
        </w:tc>
        <w:tc>
          <w:tcPr>
            <w:tcW w:w="0" w:type="auto"/>
            <w:hideMark/>
          </w:tcPr>
          <w:p w14:paraId="3D517D39" w14:textId="77777777" w:rsidR="007158F2" w:rsidRPr="008C70AB" w:rsidRDefault="007158F2" w:rsidP="008E26E9">
            <w:pPr>
              <w:spacing w:after="160" w:line="278" w:lineRule="auto"/>
            </w:pPr>
            <w:r w:rsidRPr="008C70AB">
              <w:t>Action plan aligned to institutional future vision</w:t>
            </w:r>
          </w:p>
        </w:tc>
        <w:tc>
          <w:tcPr>
            <w:tcW w:w="0" w:type="auto"/>
            <w:hideMark/>
          </w:tcPr>
          <w:p w14:paraId="7A3DD5B6" w14:textId="77777777" w:rsidR="007158F2" w:rsidRPr="008C70AB" w:rsidRDefault="007158F2" w:rsidP="008E26E9">
            <w:pPr>
              <w:spacing w:after="160" w:line="278" w:lineRule="auto"/>
            </w:pPr>
            <w:r w:rsidRPr="008C70AB">
              <w:t>3.1</w:t>
            </w:r>
          </w:p>
        </w:tc>
        <w:tc>
          <w:tcPr>
            <w:tcW w:w="0" w:type="auto"/>
            <w:hideMark/>
          </w:tcPr>
          <w:p w14:paraId="313C9770" w14:textId="77777777" w:rsidR="007158F2" w:rsidRPr="008C70AB" w:rsidRDefault="007158F2" w:rsidP="008E26E9">
            <w:pPr>
              <w:spacing w:after="160" w:line="278" w:lineRule="auto"/>
            </w:pPr>
            <w:r w:rsidRPr="008C70AB">
              <w:t>“Our action plan for 2022-25 is aligned to this future vision allowing us to refresh all areas, continuously improving the support for our researchers.” (University of Salford, 2022, p. 1)</w:t>
            </w:r>
          </w:p>
        </w:tc>
      </w:tr>
    </w:tbl>
    <w:p w14:paraId="63DCA54E" w14:textId="77777777" w:rsidR="007158F2" w:rsidRDefault="007158F2" w:rsidP="007158F2">
      <w:pPr>
        <w:rPr>
          <w:lang w:val="en-US"/>
        </w:rPr>
      </w:pPr>
    </w:p>
    <w:p w14:paraId="22BE8F42" w14:textId="77777777" w:rsidR="007158F2" w:rsidRPr="00985C38" w:rsidRDefault="007158F2" w:rsidP="007158F2">
      <w:pPr>
        <w:rPr>
          <w:b/>
          <w:bCs/>
          <w:sz w:val="24"/>
          <w:szCs w:val="24"/>
        </w:rPr>
      </w:pPr>
      <w:r w:rsidRPr="00985C38">
        <w:rPr>
          <w:b/>
          <w:bCs/>
          <w:sz w:val="24"/>
          <w:szCs w:val="24"/>
        </w:rPr>
        <w:lastRenderedPageBreak/>
        <w:t>Table A1.2: Overview of Qualitative Data Analysis Underpinning RQ1 – University of Manchester (2020–2025)</w:t>
      </w:r>
    </w:p>
    <w:tbl>
      <w:tblPr>
        <w:tblStyle w:val="TableGrid"/>
        <w:tblW w:w="0" w:type="auto"/>
        <w:tblLook w:val="04A0" w:firstRow="1" w:lastRow="0" w:firstColumn="1" w:lastColumn="0" w:noHBand="0" w:noVBand="1"/>
      </w:tblPr>
      <w:tblGrid>
        <w:gridCol w:w="1539"/>
        <w:gridCol w:w="1670"/>
        <w:gridCol w:w="3016"/>
        <w:gridCol w:w="1109"/>
        <w:gridCol w:w="1682"/>
      </w:tblGrid>
      <w:tr w:rsidR="007158F2" w:rsidRPr="00D37A71" w14:paraId="089BC90A" w14:textId="77777777" w:rsidTr="008E26E9">
        <w:tc>
          <w:tcPr>
            <w:tcW w:w="0" w:type="auto"/>
            <w:shd w:val="clear" w:color="auto" w:fill="4C94D8" w:themeFill="text2" w:themeFillTint="80"/>
            <w:hideMark/>
          </w:tcPr>
          <w:p w14:paraId="038A9C5D" w14:textId="77777777" w:rsidR="007158F2" w:rsidRPr="00D37A71" w:rsidRDefault="007158F2" w:rsidP="008E26E9">
            <w:pPr>
              <w:spacing w:after="160" w:line="278" w:lineRule="auto"/>
              <w:rPr>
                <w:b/>
                <w:bCs/>
              </w:rPr>
            </w:pPr>
            <w:r w:rsidRPr="00D37A71">
              <w:rPr>
                <w:b/>
                <w:bCs/>
              </w:rPr>
              <w:t>Research Question</w:t>
            </w:r>
          </w:p>
        </w:tc>
        <w:tc>
          <w:tcPr>
            <w:tcW w:w="0" w:type="auto"/>
            <w:shd w:val="clear" w:color="auto" w:fill="4C94D8" w:themeFill="text2" w:themeFillTint="80"/>
            <w:hideMark/>
          </w:tcPr>
          <w:p w14:paraId="779D56E7" w14:textId="77777777" w:rsidR="007158F2" w:rsidRPr="00D37A71" w:rsidRDefault="007158F2" w:rsidP="008E26E9">
            <w:pPr>
              <w:spacing w:after="160" w:line="278" w:lineRule="auto"/>
              <w:rPr>
                <w:b/>
                <w:bCs/>
              </w:rPr>
            </w:pPr>
            <w:r w:rsidRPr="00D37A71">
              <w:rPr>
                <w:b/>
                <w:bCs/>
              </w:rPr>
              <w:t>Main Theme</w:t>
            </w:r>
          </w:p>
        </w:tc>
        <w:tc>
          <w:tcPr>
            <w:tcW w:w="0" w:type="auto"/>
            <w:shd w:val="clear" w:color="auto" w:fill="4C94D8" w:themeFill="text2" w:themeFillTint="80"/>
            <w:hideMark/>
          </w:tcPr>
          <w:p w14:paraId="6A1BC1D1" w14:textId="77777777" w:rsidR="007158F2" w:rsidRPr="00D37A71" w:rsidRDefault="007158F2" w:rsidP="008E26E9">
            <w:pPr>
              <w:spacing w:after="160" w:line="278" w:lineRule="auto"/>
              <w:rPr>
                <w:b/>
                <w:bCs/>
              </w:rPr>
            </w:pPr>
            <w:r w:rsidRPr="00D37A71">
              <w:rPr>
                <w:b/>
                <w:bCs/>
              </w:rPr>
              <w:t>Sub-theme / Code</w:t>
            </w:r>
          </w:p>
        </w:tc>
        <w:tc>
          <w:tcPr>
            <w:tcW w:w="0" w:type="auto"/>
            <w:shd w:val="clear" w:color="auto" w:fill="4C94D8" w:themeFill="text2" w:themeFillTint="80"/>
            <w:hideMark/>
          </w:tcPr>
          <w:p w14:paraId="45E77054" w14:textId="77777777" w:rsidR="007158F2" w:rsidRPr="00D37A71" w:rsidRDefault="007158F2" w:rsidP="008E26E9">
            <w:pPr>
              <w:spacing w:after="160" w:line="278" w:lineRule="auto"/>
              <w:rPr>
                <w:b/>
                <w:bCs/>
              </w:rPr>
            </w:pPr>
            <w:r w:rsidRPr="00D37A71">
              <w:rPr>
                <w:b/>
                <w:bCs/>
              </w:rPr>
              <w:t>Findings Section Ref</w:t>
            </w:r>
          </w:p>
        </w:tc>
        <w:tc>
          <w:tcPr>
            <w:tcW w:w="0" w:type="auto"/>
            <w:shd w:val="clear" w:color="auto" w:fill="4C94D8" w:themeFill="text2" w:themeFillTint="80"/>
            <w:hideMark/>
          </w:tcPr>
          <w:p w14:paraId="5ACD1497" w14:textId="77777777" w:rsidR="007158F2" w:rsidRPr="00D37A71" w:rsidRDefault="007158F2" w:rsidP="008E26E9">
            <w:pPr>
              <w:spacing w:after="160" w:line="278" w:lineRule="auto"/>
              <w:rPr>
                <w:b/>
                <w:bCs/>
              </w:rPr>
            </w:pPr>
            <w:r w:rsidRPr="008C70AB">
              <w:rPr>
                <w:b/>
                <w:bCs/>
              </w:rPr>
              <w:t xml:space="preserve">Illustrative Extract </w:t>
            </w:r>
          </w:p>
        </w:tc>
      </w:tr>
      <w:tr w:rsidR="007158F2" w:rsidRPr="00D37A71" w14:paraId="51A5BCD0" w14:textId="77777777" w:rsidTr="008E26E9">
        <w:tc>
          <w:tcPr>
            <w:tcW w:w="0" w:type="auto"/>
            <w:hideMark/>
          </w:tcPr>
          <w:p w14:paraId="5B7C327D" w14:textId="77777777" w:rsidR="007158F2" w:rsidRPr="004204CB" w:rsidRDefault="007158F2" w:rsidP="008E26E9">
            <w:pPr>
              <w:spacing w:after="160" w:line="278" w:lineRule="auto"/>
              <w:rPr>
                <w:b/>
                <w:bCs/>
              </w:rPr>
            </w:pPr>
            <w:r w:rsidRPr="004204CB">
              <w:rPr>
                <w:b/>
                <w:bCs/>
              </w:rPr>
              <w:t>RQ1: How were EDI strategies implemented (2020–2025)?</w:t>
            </w:r>
          </w:p>
        </w:tc>
        <w:tc>
          <w:tcPr>
            <w:tcW w:w="0" w:type="auto"/>
            <w:hideMark/>
          </w:tcPr>
          <w:p w14:paraId="46A9C58B" w14:textId="77777777" w:rsidR="007158F2" w:rsidRPr="00D37A71" w:rsidRDefault="007158F2" w:rsidP="008E26E9">
            <w:pPr>
              <w:spacing w:after="160" w:line="278" w:lineRule="auto"/>
            </w:pPr>
            <w:r w:rsidRPr="00D37A71">
              <w:t>Strategic institutional embedding of EDI</w:t>
            </w:r>
          </w:p>
        </w:tc>
        <w:tc>
          <w:tcPr>
            <w:tcW w:w="0" w:type="auto"/>
            <w:hideMark/>
          </w:tcPr>
          <w:p w14:paraId="7A0C410E" w14:textId="77777777" w:rsidR="007158F2" w:rsidRPr="00D37A71" w:rsidRDefault="007158F2" w:rsidP="008E26E9">
            <w:pPr>
              <w:spacing w:after="160" w:line="278" w:lineRule="auto"/>
            </w:pPr>
            <w:r w:rsidRPr="00D37A71">
              <w:t>EDI strategy structured around clear institutional priorities</w:t>
            </w:r>
          </w:p>
        </w:tc>
        <w:tc>
          <w:tcPr>
            <w:tcW w:w="0" w:type="auto"/>
            <w:hideMark/>
          </w:tcPr>
          <w:p w14:paraId="4328B4F1" w14:textId="77777777" w:rsidR="007158F2" w:rsidRPr="00D37A71" w:rsidRDefault="007158F2" w:rsidP="008E26E9">
            <w:pPr>
              <w:spacing w:after="160" w:line="278" w:lineRule="auto"/>
            </w:pPr>
            <w:r w:rsidRPr="00D37A71">
              <w:t>3.1</w:t>
            </w:r>
          </w:p>
        </w:tc>
        <w:tc>
          <w:tcPr>
            <w:tcW w:w="0" w:type="auto"/>
            <w:hideMark/>
          </w:tcPr>
          <w:p w14:paraId="0BB248F6" w14:textId="77777777" w:rsidR="007158F2" w:rsidRPr="00D37A71" w:rsidRDefault="007158F2" w:rsidP="008E26E9">
            <w:pPr>
              <w:spacing w:after="160" w:line="278" w:lineRule="auto"/>
            </w:pPr>
            <w:r w:rsidRPr="00D37A71">
              <w:t>“</w:t>
            </w:r>
            <w:proofErr w:type="gramStart"/>
            <w:r w:rsidRPr="00D37A71">
              <w:t>we</w:t>
            </w:r>
            <w:proofErr w:type="gramEnd"/>
            <w:r w:rsidRPr="00D37A71">
              <w:t xml:space="preserve"> have set ourselves three key priorities as outlined in our three-year EDI strategy” (University of Manchester, 2025, p. </w:t>
            </w:r>
            <w:r>
              <w:t>3</w:t>
            </w:r>
            <w:r w:rsidRPr="00D37A71">
              <w:t>).</w:t>
            </w:r>
          </w:p>
        </w:tc>
      </w:tr>
      <w:tr w:rsidR="007158F2" w:rsidRPr="00D37A71" w14:paraId="6EB55D86" w14:textId="77777777" w:rsidTr="008E26E9">
        <w:tc>
          <w:tcPr>
            <w:tcW w:w="0" w:type="auto"/>
            <w:hideMark/>
          </w:tcPr>
          <w:p w14:paraId="5E496149" w14:textId="77777777" w:rsidR="007158F2" w:rsidRPr="00D37A71" w:rsidRDefault="007158F2" w:rsidP="008E26E9">
            <w:pPr>
              <w:spacing w:after="160" w:line="278" w:lineRule="auto"/>
            </w:pPr>
            <w:r w:rsidRPr="00D37A71">
              <w:t>RQ1</w:t>
            </w:r>
          </w:p>
        </w:tc>
        <w:tc>
          <w:tcPr>
            <w:tcW w:w="0" w:type="auto"/>
            <w:hideMark/>
          </w:tcPr>
          <w:p w14:paraId="402612AC" w14:textId="77777777" w:rsidR="007158F2" w:rsidRPr="00D37A71" w:rsidRDefault="007158F2" w:rsidP="008E26E9">
            <w:pPr>
              <w:spacing w:after="160" w:line="278" w:lineRule="auto"/>
            </w:pPr>
            <w:r w:rsidRPr="00D37A71">
              <w:t>Strategic institutional embedding of EDI</w:t>
            </w:r>
          </w:p>
        </w:tc>
        <w:tc>
          <w:tcPr>
            <w:tcW w:w="0" w:type="auto"/>
            <w:hideMark/>
          </w:tcPr>
          <w:p w14:paraId="0FA73292" w14:textId="77777777" w:rsidR="007158F2" w:rsidRPr="00D37A71" w:rsidRDefault="007158F2" w:rsidP="008E26E9">
            <w:pPr>
              <w:spacing w:after="160" w:line="278" w:lineRule="auto"/>
            </w:pPr>
            <w:r w:rsidRPr="00D37A71">
              <w:t>Inclusive culture as an implementation priority</w:t>
            </w:r>
          </w:p>
        </w:tc>
        <w:tc>
          <w:tcPr>
            <w:tcW w:w="0" w:type="auto"/>
            <w:hideMark/>
          </w:tcPr>
          <w:p w14:paraId="1C4BB59A" w14:textId="77777777" w:rsidR="007158F2" w:rsidRPr="00D37A71" w:rsidRDefault="007158F2" w:rsidP="008E26E9">
            <w:pPr>
              <w:spacing w:after="160" w:line="278" w:lineRule="auto"/>
            </w:pPr>
            <w:r w:rsidRPr="00D37A71">
              <w:t>3.1</w:t>
            </w:r>
          </w:p>
        </w:tc>
        <w:tc>
          <w:tcPr>
            <w:tcW w:w="0" w:type="auto"/>
            <w:hideMark/>
          </w:tcPr>
          <w:p w14:paraId="1F828F04" w14:textId="77777777" w:rsidR="007158F2" w:rsidRPr="00D37A71" w:rsidRDefault="007158F2" w:rsidP="008E26E9">
            <w:pPr>
              <w:spacing w:after="160" w:line="278" w:lineRule="auto"/>
            </w:pPr>
            <w:r w:rsidRPr="00D37A71">
              <w:t xml:space="preserve">“Inclusive environment and culture” (University of Manchester, 2025, p. </w:t>
            </w:r>
            <w:r>
              <w:t>3</w:t>
            </w:r>
            <w:r w:rsidRPr="00D37A71">
              <w:t>).</w:t>
            </w:r>
          </w:p>
        </w:tc>
      </w:tr>
      <w:tr w:rsidR="007158F2" w:rsidRPr="00D37A71" w14:paraId="0DC2FADF" w14:textId="77777777" w:rsidTr="008E26E9">
        <w:tc>
          <w:tcPr>
            <w:tcW w:w="0" w:type="auto"/>
            <w:hideMark/>
          </w:tcPr>
          <w:p w14:paraId="3ED1CC0D" w14:textId="77777777" w:rsidR="007158F2" w:rsidRPr="00D37A71" w:rsidRDefault="007158F2" w:rsidP="008E26E9">
            <w:pPr>
              <w:spacing w:after="160" w:line="278" w:lineRule="auto"/>
            </w:pPr>
            <w:r w:rsidRPr="00D37A71">
              <w:t>RQ1</w:t>
            </w:r>
          </w:p>
        </w:tc>
        <w:tc>
          <w:tcPr>
            <w:tcW w:w="0" w:type="auto"/>
            <w:hideMark/>
          </w:tcPr>
          <w:p w14:paraId="118DD7A2" w14:textId="77777777" w:rsidR="007158F2" w:rsidRPr="00D37A71" w:rsidRDefault="007158F2" w:rsidP="008E26E9">
            <w:pPr>
              <w:spacing w:after="160" w:line="278" w:lineRule="auto"/>
            </w:pPr>
            <w:r w:rsidRPr="00D37A71">
              <w:t>Strategic institutional embedding of EDI</w:t>
            </w:r>
          </w:p>
        </w:tc>
        <w:tc>
          <w:tcPr>
            <w:tcW w:w="0" w:type="auto"/>
            <w:hideMark/>
          </w:tcPr>
          <w:p w14:paraId="09960B37" w14:textId="77777777" w:rsidR="007158F2" w:rsidRPr="00D37A71" w:rsidRDefault="007158F2" w:rsidP="008E26E9">
            <w:pPr>
              <w:spacing w:after="160" w:line="278" w:lineRule="auto"/>
            </w:pPr>
            <w:r w:rsidRPr="00D37A71">
              <w:t>Diverse representation as an implementation priority</w:t>
            </w:r>
          </w:p>
        </w:tc>
        <w:tc>
          <w:tcPr>
            <w:tcW w:w="0" w:type="auto"/>
            <w:hideMark/>
          </w:tcPr>
          <w:p w14:paraId="5C38FAA5" w14:textId="77777777" w:rsidR="007158F2" w:rsidRPr="00D37A71" w:rsidRDefault="007158F2" w:rsidP="008E26E9">
            <w:pPr>
              <w:spacing w:after="160" w:line="278" w:lineRule="auto"/>
            </w:pPr>
            <w:r w:rsidRPr="00D37A71">
              <w:t>3.1</w:t>
            </w:r>
          </w:p>
        </w:tc>
        <w:tc>
          <w:tcPr>
            <w:tcW w:w="0" w:type="auto"/>
            <w:hideMark/>
          </w:tcPr>
          <w:p w14:paraId="10F47897" w14:textId="77777777" w:rsidR="007158F2" w:rsidRPr="00D37A71" w:rsidRDefault="007158F2" w:rsidP="008E26E9">
            <w:pPr>
              <w:spacing w:after="160" w:line="278" w:lineRule="auto"/>
            </w:pPr>
            <w:r w:rsidRPr="00D37A71">
              <w:t xml:space="preserve">“Diverse representation” (University of Manchester, 2025, p. </w:t>
            </w:r>
            <w:r>
              <w:t>2</w:t>
            </w:r>
            <w:r w:rsidRPr="00D37A71">
              <w:t>).</w:t>
            </w:r>
          </w:p>
        </w:tc>
      </w:tr>
      <w:tr w:rsidR="007158F2" w:rsidRPr="00D37A71" w14:paraId="2DC3CA83" w14:textId="77777777" w:rsidTr="008E26E9">
        <w:tc>
          <w:tcPr>
            <w:tcW w:w="0" w:type="auto"/>
            <w:hideMark/>
          </w:tcPr>
          <w:p w14:paraId="0C1EF177" w14:textId="77777777" w:rsidR="007158F2" w:rsidRPr="00D37A71" w:rsidRDefault="007158F2" w:rsidP="008E26E9">
            <w:pPr>
              <w:spacing w:after="160" w:line="278" w:lineRule="auto"/>
            </w:pPr>
            <w:r w:rsidRPr="00D37A71">
              <w:t>RQ1</w:t>
            </w:r>
          </w:p>
        </w:tc>
        <w:tc>
          <w:tcPr>
            <w:tcW w:w="0" w:type="auto"/>
            <w:hideMark/>
          </w:tcPr>
          <w:p w14:paraId="1A221B67" w14:textId="77777777" w:rsidR="007158F2" w:rsidRPr="00D37A71" w:rsidRDefault="007158F2" w:rsidP="008E26E9">
            <w:pPr>
              <w:spacing w:after="160" w:line="278" w:lineRule="auto"/>
            </w:pPr>
            <w:r w:rsidRPr="00D37A71">
              <w:t>Strategic institutional embedding of EDI</w:t>
            </w:r>
          </w:p>
        </w:tc>
        <w:tc>
          <w:tcPr>
            <w:tcW w:w="0" w:type="auto"/>
            <w:hideMark/>
          </w:tcPr>
          <w:p w14:paraId="29820899" w14:textId="77777777" w:rsidR="007158F2" w:rsidRPr="00D37A71" w:rsidRDefault="007158F2" w:rsidP="008E26E9">
            <w:pPr>
              <w:spacing w:after="160" w:line="278" w:lineRule="auto"/>
            </w:pPr>
            <w:r w:rsidRPr="00D37A71">
              <w:t>Inclusive practice as an implementation priority</w:t>
            </w:r>
          </w:p>
        </w:tc>
        <w:tc>
          <w:tcPr>
            <w:tcW w:w="0" w:type="auto"/>
            <w:hideMark/>
          </w:tcPr>
          <w:p w14:paraId="7C90A8AD" w14:textId="77777777" w:rsidR="007158F2" w:rsidRPr="00D37A71" w:rsidRDefault="007158F2" w:rsidP="008E26E9">
            <w:pPr>
              <w:spacing w:after="160" w:line="278" w:lineRule="auto"/>
            </w:pPr>
            <w:r w:rsidRPr="00D37A71">
              <w:t>3.1</w:t>
            </w:r>
          </w:p>
        </w:tc>
        <w:tc>
          <w:tcPr>
            <w:tcW w:w="0" w:type="auto"/>
            <w:hideMark/>
          </w:tcPr>
          <w:p w14:paraId="54A3DF8B" w14:textId="77777777" w:rsidR="007158F2" w:rsidRPr="00D37A71" w:rsidRDefault="007158F2" w:rsidP="008E26E9">
            <w:pPr>
              <w:spacing w:after="160" w:line="278" w:lineRule="auto"/>
            </w:pPr>
            <w:r w:rsidRPr="00D37A71">
              <w:t xml:space="preserve">“Inclusive practice” (University of Manchester, 2025, p. </w:t>
            </w:r>
            <w:r>
              <w:t>3</w:t>
            </w:r>
            <w:r w:rsidRPr="00D37A71">
              <w:t>).</w:t>
            </w:r>
          </w:p>
        </w:tc>
      </w:tr>
      <w:tr w:rsidR="007158F2" w:rsidRPr="00D37A71" w14:paraId="58EF6D8A" w14:textId="77777777" w:rsidTr="008E26E9">
        <w:tc>
          <w:tcPr>
            <w:tcW w:w="0" w:type="auto"/>
            <w:hideMark/>
          </w:tcPr>
          <w:p w14:paraId="4B3CD676" w14:textId="77777777" w:rsidR="007158F2" w:rsidRPr="00D37A71" w:rsidRDefault="007158F2" w:rsidP="008E26E9">
            <w:pPr>
              <w:spacing w:after="160" w:line="278" w:lineRule="auto"/>
            </w:pPr>
            <w:r w:rsidRPr="00D37A71">
              <w:t>RQ1</w:t>
            </w:r>
          </w:p>
        </w:tc>
        <w:tc>
          <w:tcPr>
            <w:tcW w:w="0" w:type="auto"/>
            <w:hideMark/>
          </w:tcPr>
          <w:p w14:paraId="77FC42A8" w14:textId="77777777" w:rsidR="007158F2" w:rsidRPr="00D37A71" w:rsidRDefault="007158F2" w:rsidP="008E26E9">
            <w:pPr>
              <w:spacing w:after="160" w:line="278" w:lineRule="auto"/>
            </w:pPr>
            <w:r w:rsidRPr="00D37A71">
              <w:t>Pay equity monitoring and statutory compliance</w:t>
            </w:r>
          </w:p>
        </w:tc>
        <w:tc>
          <w:tcPr>
            <w:tcW w:w="0" w:type="auto"/>
            <w:hideMark/>
          </w:tcPr>
          <w:p w14:paraId="23962669" w14:textId="77777777" w:rsidR="007158F2" w:rsidRPr="00D37A71" w:rsidRDefault="007158F2" w:rsidP="008E26E9">
            <w:pPr>
              <w:spacing w:after="160" w:line="278" w:lineRule="auto"/>
            </w:pPr>
            <w:r w:rsidRPr="00D37A71">
              <w:t>PSED compliance through annual equality information publication</w:t>
            </w:r>
          </w:p>
        </w:tc>
        <w:tc>
          <w:tcPr>
            <w:tcW w:w="0" w:type="auto"/>
            <w:hideMark/>
          </w:tcPr>
          <w:p w14:paraId="524C5BE4" w14:textId="77777777" w:rsidR="007158F2" w:rsidRPr="00D37A71" w:rsidRDefault="007158F2" w:rsidP="008E26E9">
            <w:pPr>
              <w:spacing w:after="160" w:line="278" w:lineRule="auto"/>
            </w:pPr>
            <w:r w:rsidRPr="00D37A71">
              <w:t>3.1</w:t>
            </w:r>
          </w:p>
        </w:tc>
        <w:tc>
          <w:tcPr>
            <w:tcW w:w="0" w:type="auto"/>
            <w:hideMark/>
          </w:tcPr>
          <w:p w14:paraId="566E1A2F" w14:textId="77777777" w:rsidR="007158F2" w:rsidRPr="00D37A71" w:rsidRDefault="007158F2" w:rsidP="008E26E9">
            <w:pPr>
              <w:spacing w:after="160" w:line="278" w:lineRule="auto"/>
            </w:pPr>
            <w:r w:rsidRPr="00D37A71">
              <w:t>“</w:t>
            </w:r>
            <w:proofErr w:type="gramStart"/>
            <w:r w:rsidRPr="00D37A71">
              <w:t>fulfilling</w:t>
            </w:r>
            <w:proofErr w:type="gramEnd"/>
            <w:r w:rsidRPr="00D37A71">
              <w:t xml:space="preserve"> and exceeding our Public Sector Equality Duty (PSED) for the past year.” (University of Manchester, 2025, p. </w:t>
            </w:r>
            <w:r>
              <w:t>2</w:t>
            </w:r>
            <w:r w:rsidRPr="00D37A71">
              <w:t>).</w:t>
            </w:r>
          </w:p>
        </w:tc>
      </w:tr>
      <w:tr w:rsidR="007158F2" w:rsidRPr="00D37A71" w14:paraId="2729A3F3" w14:textId="77777777" w:rsidTr="008E26E9">
        <w:tc>
          <w:tcPr>
            <w:tcW w:w="0" w:type="auto"/>
            <w:hideMark/>
          </w:tcPr>
          <w:p w14:paraId="744A399F" w14:textId="77777777" w:rsidR="007158F2" w:rsidRPr="00D37A71" w:rsidRDefault="007158F2" w:rsidP="008E26E9">
            <w:pPr>
              <w:spacing w:after="160" w:line="278" w:lineRule="auto"/>
            </w:pPr>
            <w:r w:rsidRPr="00D37A71">
              <w:lastRenderedPageBreak/>
              <w:t>RQ1</w:t>
            </w:r>
          </w:p>
        </w:tc>
        <w:tc>
          <w:tcPr>
            <w:tcW w:w="0" w:type="auto"/>
            <w:hideMark/>
          </w:tcPr>
          <w:p w14:paraId="5E917794" w14:textId="77777777" w:rsidR="007158F2" w:rsidRPr="00D37A71" w:rsidRDefault="007158F2" w:rsidP="008E26E9">
            <w:pPr>
              <w:spacing w:after="160" w:line="278" w:lineRule="auto"/>
            </w:pPr>
            <w:r w:rsidRPr="00D37A71">
              <w:t>Governance and accountability structures</w:t>
            </w:r>
          </w:p>
        </w:tc>
        <w:tc>
          <w:tcPr>
            <w:tcW w:w="0" w:type="auto"/>
            <w:hideMark/>
          </w:tcPr>
          <w:p w14:paraId="0DA55B7C" w14:textId="77777777" w:rsidR="007158F2" w:rsidRPr="00D37A71" w:rsidRDefault="007158F2" w:rsidP="008E26E9">
            <w:pPr>
              <w:spacing w:after="160" w:line="278" w:lineRule="auto"/>
            </w:pPr>
            <w:r w:rsidRPr="00D37A71">
              <w:t>Central EDI oversight (EDI Directorate)</w:t>
            </w:r>
          </w:p>
        </w:tc>
        <w:tc>
          <w:tcPr>
            <w:tcW w:w="0" w:type="auto"/>
            <w:hideMark/>
          </w:tcPr>
          <w:p w14:paraId="1BB35B0C" w14:textId="77777777" w:rsidR="007158F2" w:rsidRPr="00D37A71" w:rsidRDefault="007158F2" w:rsidP="008E26E9">
            <w:pPr>
              <w:spacing w:after="160" w:line="278" w:lineRule="auto"/>
            </w:pPr>
            <w:r w:rsidRPr="00D37A71">
              <w:t>3.1</w:t>
            </w:r>
          </w:p>
        </w:tc>
        <w:tc>
          <w:tcPr>
            <w:tcW w:w="0" w:type="auto"/>
            <w:hideMark/>
          </w:tcPr>
          <w:p w14:paraId="4AB89B46" w14:textId="77777777" w:rsidR="007158F2" w:rsidRPr="00D37A71" w:rsidRDefault="007158F2" w:rsidP="008E26E9">
            <w:pPr>
              <w:spacing w:after="160" w:line="278" w:lineRule="auto"/>
            </w:pPr>
            <w:r w:rsidRPr="00D37A71">
              <w:t xml:space="preserve">“The EDI Directorate has overall oversight of EDI coordination and management… leading the development and monitoring of the EDI strategy.” (University of Manchester, 2025, p. </w:t>
            </w:r>
            <w:r>
              <w:t>5</w:t>
            </w:r>
            <w:r w:rsidRPr="00D37A71">
              <w:t>).</w:t>
            </w:r>
          </w:p>
        </w:tc>
      </w:tr>
      <w:tr w:rsidR="007158F2" w:rsidRPr="00D37A71" w14:paraId="4C521045" w14:textId="77777777" w:rsidTr="008E26E9">
        <w:tc>
          <w:tcPr>
            <w:tcW w:w="0" w:type="auto"/>
            <w:hideMark/>
          </w:tcPr>
          <w:p w14:paraId="03835AC0" w14:textId="77777777" w:rsidR="007158F2" w:rsidRPr="00D37A71" w:rsidRDefault="007158F2" w:rsidP="008E26E9">
            <w:pPr>
              <w:spacing w:after="160" w:line="278" w:lineRule="auto"/>
            </w:pPr>
            <w:r w:rsidRPr="00D37A71">
              <w:t>RQ1</w:t>
            </w:r>
          </w:p>
        </w:tc>
        <w:tc>
          <w:tcPr>
            <w:tcW w:w="0" w:type="auto"/>
            <w:hideMark/>
          </w:tcPr>
          <w:p w14:paraId="613D3770" w14:textId="77777777" w:rsidR="007158F2" w:rsidRPr="00D37A71" w:rsidRDefault="007158F2" w:rsidP="008E26E9">
            <w:pPr>
              <w:spacing w:after="160" w:line="278" w:lineRule="auto"/>
            </w:pPr>
            <w:r w:rsidRPr="00D37A71">
              <w:t>Governance and accountability structures</w:t>
            </w:r>
          </w:p>
        </w:tc>
        <w:tc>
          <w:tcPr>
            <w:tcW w:w="0" w:type="auto"/>
            <w:hideMark/>
          </w:tcPr>
          <w:p w14:paraId="0484ACAA" w14:textId="77777777" w:rsidR="007158F2" w:rsidRPr="00D37A71" w:rsidRDefault="007158F2" w:rsidP="008E26E9">
            <w:pPr>
              <w:spacing w:after="160" w:line="278" w:lineRule="auto"/>
            </w:pPr>
            <w:r w:rsidRPr="00D37A71">
              <w:t>Named academic leadership for equality objectives</w:t>
            </w:r>
          </w:p>
        </w:tc>
        <w:tc>
          <w:tcPr>
            <w:tcW w:w="0" w:type="auto"/>
            <w:hideMark/>
          </w:tcPr>
          <w:p w14:paraId="70E0BB97" w14:textId="77777777" w:rsidR="007158F2" w:rsidRPr="00D37A71" w:rsidRDefault="007158F2" w:rsidP="008E26E9">
            <w:pPr>
              <w:spacing w:after="160" w:line="278" w:lineRule="auto"/>
            </w:pPr>
            <w:r w:rsidRPr="00D37A71">
              <w:t>3.1</w:t>
            </w:r>
          </w:p>
        </w:tc>
        <w:tc>
          <w:tcPr>
            <w:tcW w:w="0" w:type="auto"/>
            <w:hideMark/>
          </w:tcPr>
          <w:p w14:paraId="788974C8" w14:textId="77777777" w:rsidR="007158F2" w:rsidRPr="00D37A71" w:rsidRDefault="007158F2" w:rsidP="008E26E9">
            <w:pPr>
              <w:spacing w:after="160" w:line="278" w:lineRule="auto"/>
            </w:pPr>
            <w:r w:rsidRPr="00D37A71">
              <w:t xml:space="preserve">“We have designated academic leads for gender and sexual orientation, race and religion, and disability.” (University of Manchester, 2025, p. </w:t>
            </w:r>
            <w:r>
              <w:t>5</w:t>
            </w:r>
            <w:r w:rsidRPr="00D37A71">
              <w:t>).</w:t>
            </w:r>
          </w:p>
        </w:tc>
      </w:tr>
      <w:tr w:rsidR="007158F2" w:rsidRPr="00D37A71" w14:paraId="66CFBF1E" w14:textId="77777777" w:rsidTr="008E26E9">
        <w:tc>
          <w:tcPr>
            <w:tcW w:w="0" w:type="auto"/>
            <w:hideMark/>
          </w:tcPr>
          <w:p w14:paraId="03470B66" w14:textId="77777777" w:rsidR="007158F2" w:rsidRPr="00D37A71" w:rsidRDefault="007158F2" w:rsidP="008E26E9">
            <w:pPr>
              <w:spacing w:after="160" w:line="278" w:lineRule="auto"/>
            </w:pPr>
            <w:r w:rsidRPr="00D37A71">
              <w:t>RQ1</w:t>
            </w:r>
          </w:p>
        </w:tc>
        <w:tc>
          <w:tcPr>
            <w:tcW w:w="0" w:type="auto"/>
            <w:hideMark/>
          </w:tcPr>
          <w:p w14:paraId="578D03D9" w14:textId="77777777" w:rsidR="007158F2" w:rsidRPr="00D37A71" w:rsidRDefault="007158F2" w:rsidP="008E26E9">
            <w:pPr>
              <w:spacing w:after="160" w:line="278" w:lineRule="auto"/>
            </w:pPr>
            <w:r w:rsidRPr="00D37A71">
              <w:t>Inclusive governance practice</w:t>
            </w:r>
          </w:p>
        </w:tc>
        <w:tc>
          <w:tcPr>
            <w:tcW w:w="0" w:type="auto"/>
            <w:hideMark/>
          </w:tcPr>
          <w:p w14:paraId="57D973B9" w14:textId="77777777" w:rsidR="007158F2" w:rsidRPr="00D37A71" w:rsidRDefault="007158F2" w:rsidP="008E26E9">
            <w:pPr>
              <w:spacing w:after="160" w:line="278" w:lineRule="auto"/>
            </w:pPr>
            <w:r w:rsidRPr="00D37A71">
              <w:t>Staff networks embedded into governance channels</w:t>
            </w:r>
          </w:p>
        </w:tc>
        <w:tc>
          <w:tcPr>
            <w:tcW w:w="0" w:type="auto"/>
            <w:hideMark/>
          </w:tcPr>
          <w:p w14:paraId="4C397385" w14:textId="77777777" w:rsidR="007158F2" w:rsidRPr="00D37A71" w:rsidRDefault="007158F2" w:rsidP="008E26E9">
            <w:pPr>
              <w:spacing w:after="160" w:line="278" w:lineRule="auto"/>
            </w:pPr>
            <w:r w:rsidRPr="00D37A71">
              <w:t>3.1</w:t>
            </w:r>
          </w:p>
        </w:tc>
        <w:tc>
          <w:tcPr>
            <w:tcW w:w="0" w:type="auto"/>
            <w:hideMark/>
          </w:tcPr>
          <w:p w14:paraId="5311A40F" w14:textId="77777777" w:rsidR="007158F2" w:rsidRPr="00D37A71" w:rsidRDefault="007158F2" w:rsidP="008E26E9">
            <w:pPr>
              <w:spacing w:after="160" w:line="278" w:lineRule="auto"/>
            </w:pPr>
            <w:r w:rsidRPr="00D37A71">
              <w:t xml:space="preserve">“Staff networks… contribute directly to the EDI Committee.” (University of Manchester, 2025, p. </w:t>
            </w:r>
            <w:r>
              <w:t>5</w:t>
            </w:r>
            <w:r w:rsidRPr="00D37A71">
              <w:t>).</w:t>
            </w:r>
          </w:p>
        </w:tc>
      </w:tr>
      <w:tr w:rsidR="007158F2" w:rsidRPr="00D37A71" w14:paraId="5FA6991A" w14:textId="77777777" w:rsidTr="008E26E9">
        <w:tc>
          <w:tcPr>
            <w:tcW w:w="0" w:type="auto"/>
            <w:hideMark/>
          </w:tcPr>
          <w:p w14:paraId="4AE3E2C6" w14:textId="77777777" w:rsidR="007158F2" w:rsidRPr="00D37A71" w:rsidRDefault="007158F2" w:rsidP="008E26E9">
            <w:pPr>
              <w:spacing w:after="160" w:line="278" w:lineRule="auto"/>
            </w:pPr>
            <w:r w:rsidRPr="00D37A71">
              <w:t>RQ1</w:t>
            </w:r>
          </w:p>
        </w:tc>
        <w:tc>
          <w:tcPr>
            <w:tcW w:w="0" w:type="auto"/>
            <w:hideMark/>
          </w:tcPr>
          <w:p w14:paraId="237FAFF5" w14:textId="77777777" w:rsidR="007158F2" w:rsidRPr="00D37A71" w:rsidRDefault="007158F2" w:rsidP="008E26E9">
            <w:pPr>
              <w:spacing w:after="160" w:line="278" w:lineRule="auto"/>
            </w:pPr>
            <w:r w:rsidRPr="00D37A71">
              <w:t>Faculty-level implementation structures</w:t>
            </w:r>
          </w:p>
        </w:tc>
        <w:tc>
          <w:tcPr>
            <w:tcW w:w="0" w:type="auto"/>
            <w:hideMark/>
          </w:tcPr>
          <w:p w14:paraId="748DFE4D" w14:textId="77777777" w:rsidR="007158F2" w:rsidRPr="00D37A71" w:rsidRDefault="007158F2" w:rsidP="008E26E9">
            <w:pPr>
              <w:spacing w:after="160" w:line="278" w:lineRule="auto"/>
            </w:pPr>
            <w:r w:rsidRPr="00D37A71">
              <w:t>Faculty EDI roles as implementation partners</w:t>
            </w:r>
          </w:p>
        </w:tc>
        <w:tc>
          <w:tcPr>
            <w:tcW w:w="0" w:type="auto"/>
            <w:hideMark/>
          </w:tcPr>
          <w:p w14:paraId="0661C7F0" w14:textId="77777777" w:rsidR="007158F2" w:rsidRPr="00D37A71" w:rsidRDefault="007158F2" w:rsidP="008E26E9">
            <w:pPr>
              <w:spacing w:after="160" w:line="278" w:lineRule="auto"/>
            </w:pPr>
            <w:r w:rsidRPr="00D37A71">
              <w:t>3.1</w:t>
            </w:r>
          </w:p>
        </w:tc>
        <w:tc>
          <w:tcPr>
            <w:tcW w:w="0" w:type="auto"/>
            <w:hideMark/>
          </w:tcPr>
          <w:p w14:paraId="703FEE51" w14:textId="77777777" w:rsidR="007158F2" w:rsidRPr="00D37A71" w:rsidRDefault="007158F2" w:rsidP="008E26E9">
            <w:pPr>
              <w:spacing w:after="160" w:line="278" w:lineRule="auto"/>
            </w:pPr>
            <w:r w:rsidRPr="00D37A71">
              <w:t xml:space="preserve">“Faculty-based EDI colleagues are also essential strategic partners in implementing </w:t>
            </w:r>
            <w:r w:rsidRPr="00D37A71">
              <w:lastRenderedPageBreak/>
              <w:t xml:space="preserve">EDI initiatives” (University of Manchester, 2025, p. </w:t>
            </w:r>
            <w:r>
              <w:t>5</w:t>
            </w:r>
            <w:r w:rsidRPr="00D37A71">
              <w:t>).</w:t>
            </w:r>
          </w:p>
        </w:tc>
      </w:tr>
      <w:tr w:rsidR="007158F2" w:rsidRPr="00D37A71" w14:paraId="1EFE97E4" w14:textId="77777777" w:rsidTr="008E26E9">
        <w:tc>
          <w:tcPr>
            <w:tcW w:w="0" w:type="auto"/>
            <w:hideMark/>
          </w:tcPr>
          <w:p w14:paraId="154C6811" w14:textId="77777777" w:rsidR="007158F2" w:rsidRPr="00D37A71" w:rsidRDefault="007158F2" w:rsidP="008E26E9">
            <w:pPr>
              <w:spacing w:after="160" w:line="278" w:lineRule="auto"/>
            </w:pPr>
            <w:r w:rsidRPr="00D37A71">
              <w:lastRenderedPageBreak/>
              <w:t>RQ1</w:t>
            </w:r>
          </w:p>
        </w:tc>
        <w:tc>
          <w:tcPr>
            <w:tcW w:w="0" w:type="auto"/>
            <w:hideMark/>
          </w:tcPr>
          <w:p w14:paraId="2F41240D" w14:textId="77777777" w:rsidR="007158F2" w:rsidRPr="00D37A71" w:rsidRDefault="007158F2" w:rsidP="008E26E9">
            <w:pPr>
              <w:spacing w:after="160" w:line="278" w:lineRule="auto"/>
            </w:pPr>
            <w:r w:rsidRPr="00D37A71">
              <w:t>Development and implementation of targeted initiatives</w:t>
            </w:r>
          </w:p>
        </w:tc>
        <w:tc>
          <w:tcPr>
            <w:tcW w:w="0" w:type="auto"/>
            <w:hideMark/>
          </w:tcPr>
          <w:p w14:paraId="7110D253" w14:textId="77777777" w:rsidR="007158F2" w:rsidRPr="00D37A71" w:rsidRDefault="007158F2" w:rsidP="008E26E9">
            <w:pPr>
              <w:spacing w:after="160" w:line="278" w:lineRule="auto"/>
            </w:pPr>
            <w:r w:rsidRPr="00D37A71">
              <w:t>Inclusive recruitment guidance (institution-level action)</w:t>
            </w:r>
          </w:p>
        </w:tc>
        <w:tc>
          <w:tcPr>
            <w:tcW w:w="0" w:type="auto"/>
            <w:hideMark/>
          </w:tcPr>
          <w:p w14:paraId="2D619E8F" w14:textId="77777777" w:rsidR="007158F2" w:rsidRPr="00D37A71" w:rsidRDefault="007158F2" w:rsidP="008E26E9">
            <w:pPr>
              <w:spacing w:after="160" w:line="278" w:lineRule="auto"/>
            </w:pPr>
            <w:r w:rsidRPr="00D37A71">
              <w:t>3.1</w:t>
            </w:r>
          </w:p>
        </w:tc>
        <w:tc>
          <w:tcPr>
            <w:tcW w:w="0" w:type="auto"/>
            <w:hideMark/>
          </w:tcPr>
          <w:p w14:paraId="150C96B7" w14:textId="77777777" w:rsidR="007158F2" w:rsidRPr="00D37A71" w:rsidRDefault="007158F2" w:rsidP="008E26E9">
            <w:pPr>
              <w:spacing w:after="160" w:line="278" w:lineRule="auto"/>
            </w:pPr>
            <w:r w:rsidRPr="00D37A71">
              <w:t>“</w:t>
            </w:r>
            <w:proofErr w:type="gramStart"/>
            <w:r w:rsidRPr="00D37A71">
              <w:t>the</w:t>
            </w:r>
            <w:proofErr w:type="gramEnd"/>
            <w:r w:rsidRPr="00D37A71">
              <w:t xml:space="preserve"> development of inclusive recruitment guidance” (University of Manchester, 2025, p. 1).</w:t>
            </w:r>
          </w:p>
        </w:tc>
      </w:tr>
      <w:tr w:rsidR="007158F2" w:rsidRPr="00D37A71" w14:paraId="6DC57879" w14:textId="77777777" w:rsidTr="008E26E9">
        <w:tc>
          <w:tcPr>
            <w:tcW w:w="0" w:type="auto"/>
            <w:hideMark/>
          </w:tcPr>
          <w:p w14:paraId="2815BC27" w14:textId="77777777" w:rsidR="007158F2" w:rsidRPr="00D37A71" w:rsidRDefault="007158F2" w:rsidP="008E26E9">
            <w:pPr>
              <w:spacing w:after="160" w:line="278" w:lineRule="auto"/>
            </w:pPr>
            <w:r w:rsidRPr="00D37A71">
              <w:t>RQ1</w:t>
            </w:r>
          </w:p>
        </w:tc>
        <w:tc>
          <w:tcPr>
            <w:tcW w:w="0" w:type="auto"/>
            <w:hideMark/>
          </w:tcPr>
          <w:p w14:paraId="64DFF217" w14:textId="77777777" w:rsidR="007158F2" w:rsidRPr="00D37A71" w:rsidRDefault="007158F2" w:rsidP="008E26E9">
            <w:pPr>
              <w:spacing w:after="160" w:line="278" w:lineRule="auto"/>
            </w:pPr>
            <w:r w:rsidRPr="00D37A71">
              <w:t>Development and implementation of targeted initiatives</w:t>
            </w:r>
          </w:p>
        </w:tc>
        <w:tc>
          <w:tcPr>
            <w:tcW w:w="0" w:type="auto"/>
            <w:hideMark/>
          </w:tcPr>
          <w:p w14:paraId="7E5758F5" w14:textId="77777777" w:rsidR="007158F2" w:rsidRPr="00D37A71" w:rsidRDefault="007158F2" w:rsidP="008E26E9">
            <w:pPr>
              <w:spacing w:after="160" w:line="278" w:lineRule="auto"/>
            </w:pPr>
            <w:r w:rsidRPr="00D37A71">
              <w:t>Workforce training offer (institution-level action)</w:t>
            </w:r>
          </w:p>
        </w:tc>
        <w:tc>
          <w:tcPr>
            <w:tcW w:w="0" w:type="auto"/>
            <w:hideMark/>
          </w:tcPr>
          <w:p w14:paraId="77FCB1D3" w14:textId="77777777" w:rsidR="007158F2" w:rsidRPr="00D37A71" w:rsidRDefault="007158F2" w:rsidP="008E26E9">
            <w:pPr>
              <w:spacing w:after="160" w:line="278" w:lineRule="auto"/>
            </w:pPr>
            <w:r w:rsidRPr="00D37A71">
              <w:t>3.1</w:t>
            </w:r>
          </w:p>
        </w:tc>
        <w:tc>
          <w:tcPr>
            <w:tcW w:w="0" w:type="auto"/>
            <w:hideMark/>
          </w:tcPr>
          <w:p w14:paraId="343EF18D" w14:textId="77777777" w:rsidR="007158F2" w:rsidRPr="00D37A71" w:rsidRDefault="007158F2" w:rsidP="008E26E9">
            <w:pPr>
              <w:spacing w:after="160" w:line="278" w:lineRule="auto"/>
            </w:pPr>
            <w:r w:rsidRPr="00D37A71">
              <w:t>“</w:t>
            </w:r>
            <w:proofErr w:type="gramStart"/>
            <w:r w:rsidRPr="00D37A71">
              <w:t>an</w:t>
            </w:r>
            <w:proofErr w:type="gramEnd"/>
            <w:r w:rsidRPr="00D37A71">
              <w:t xml:space="preserve"> enhanced training offering” (University of Manchester, 2025, p. 1).</w:t>
            </w:r>
          </w:p>
        </w:tc>
      </w:tr>
      <w:tr w:rsidR="007158F2" w:rsidRPr="00D37A71" w14:paraId="5F5FE06B" w14:textId="77777777" w:rsidTr="008E26E9">
        <w:tc>
          <w:tcPr>
            <w:tcW w:w="0" w:type="auto"/>
            <w:hideMark/>
          </w:tcPr>
          <w:p w14:paraId="4BABBA62" w14:textId="77777777" w:rsidR="007158F2" w:rsidRPr="00D37A71" w:rsidRDefault="007158F2" w:rsidP="008E26E9">
            <w:pPr>
              <w:spacing w:after="160" w:line="278" w:lineRule="auto"/>
            </w:pPr>
            <w:r w:rsidRPr="00D37A71">
              <w:t>RQ1</w:t>
            </w:r>
          </w:p>
        </w:tc>
        <w:tc>
          <w:tcPr>
            <w:tcW w:w="0" w:type="auto"/>
            <w:hideMark/>
          </w:tcPr>
          <w:p w14:paraId="161A2855" w14:textId="77777777" w:rsidR="007158F2" w:rsidRPr="00D37A71" w:rsidRDefault="007158F2" w:rsidP="008E26E9">
            <w:pPr>
              <w:spacing w:after="160" w:line="278" w:lineRule="auto"/>
            </w:pPr>
            <w:r w:rsidRPr="00D37A71">
              <w:t>Accreditation and external frameworks</w:t>
            </w:r>
          </w:p>
        </w:tc>
        <w:tc>
          <w:tcPr>
            <w:tcW w:w="0" w:type="auto"/>
            <w:hideMark/>
          </w:tcPr>
          <w:p w14:paraId="0489F97C" w14:textId="77777777" w:rsidR="007158F2" w:rsidRPr="00D37A71" w:rsidRDefault="007158F2" w:rsidP="008E26E9">
            <w:pPr>
              <w:spacing w:after="160" w:line="278" w:lineRule="auto"/>
            </w:pPr>
            <w:r w:rsidRPr="00D37A71">
              <w:t>Charter marks used to evidence/advance EDI</w:t>
            </w:r>
          </w:p>
        </w:tc>
        <w:tc>
          <w:tcPr>
            <w:tcW w:w="0" w:type="auto"/>
            <w:hideMark/>
          </w:tcPr>
          <w:p w14:paraId="3C34AACB" w14:textId="77777777" w:rsidR="007158F2" w:rsidRPr="00D37A71" w:rsidRDefault="007158F2" w:rsidP="008E26E9">
            <w:pPr>
              <w:spacing w:after="160" w:line="278" w:lineRule="auto"/>
            </w:pPr>
            <w:r w:rsidRPr="00D37A71">
              <w:t>3.1</w:t>
            </w:r>
          </w:p>
        </w:tc>
        <w:tc>
          <w:tcPr>
            <w:tcW w:w="0" w:type="auto"/>
            <w:hideMark/>
          </w:tcPr>
          <w:p w14:paraId="4B88EFAF" w14:textId="77777777" w:rsidR="007158F2" w:rsidRPr="00D37A71" w:rsidRDefault="007158F2" w:rsidP="008E26E9">
            <w:pPr>
              <w:spacing w:after="160" w:line="278" w:lineRule="auto"/>
            </w:pPr>
            <w:r w:rsidRPr="00D37A71">
              <w:t xml:space="preserve">“Charter Mark submissions, including Silver Athena SWAN and Silver Race Equality Charter.” (University of Manchester, 2025, p. </w:t>
            </w:r>
            <w:r>
              <w:t>4</w:t>
            </w:r>
            <w:r w:rsidRPr="00D37A71">
              <w:t>).</w:t>
            </w:r>
          </w:p>
        </w:tc>
      </w:tr>
      <w:tr w:rsidR="007158F2" w:rsidRPr="00D37A71" w14:paraId="2148EC85" w14:textId="77777777" w:rsidTr="008E26E9">
        <w:tc>
          <w:tcPr>
            <w:tcW w:w="0" w:type="auto"/>
            <w:hideMark/>
          </w:tcPr>
          <w:p w14:paraId="7C314C86" w14:textId="77777777" w:rsidR="007158F2" w:rsidRPr="00D37A71" w:rsidRDefault="007158F2" w:rsidP="008E26E9">
            <w:pPr>
              <w:spacing w:after="160" w:line="278" w:lineRule="auto"/>
            </w:pPr>
            <w:r w:rsidRPr="00D37A71">
              <w:t>RQ1</w:t>
            </w:r>
          </w:p>
        </w:tc>
        <w:tc>
          <w:tcPr>
            <w:tcW w:w="0" w:type="auto"/>
            <w:hideMark/>
          </w:tcPr>
          <w:p w14:paraId="0A51A0DA" w14:textId="77777777" w:rsidR="007158F2" w:rsidRPr="00D37A71" w:rsidRDefault="007158F2" w:rsidP="008E26E9">
            <w:pPr>
              <w:spacing w:after="160" w:line="278" w:lineRule="auto"/>
            </w:pPr>
            <w:r w:rsidRPr="00D37A71">
              <w:t>Monitoring and transparency mechanisms</w:t>
            </w:r>
          </w:p>
        </w:tc>
        <w:tc>
          <w:tcPr>
            <w:tcW w:w="0" w:type="auto"/>
            <w:hideMark/>
          </w:tcPr>
          <w:p w14:paraId="78947B85" w14:textId="77777777" w:rsidR="007158F2" w:rsidRPr="00D37A71" w:rsidRDefault="007158F2" w:rsidP="008E26E9">
            <w:pPr>
              <w:spacing w:after="160" w:line="278" w:lineRule="auto"/>
            </w:pPr>
            <w:r w:rsidRPr="00D37A71">
              <w:t>Equality data used to drive policy change + monitoring</w:t>
            </w:r>
          </w:p>
        </w:tc>
        <w:tc>
          <w:tcPr>
            <w:tcW w:w="0" w:type="auto"/>
            <w:hideMark/>
          </w:tcPr>
          <w:p w14:paraId="7353A396" w14:textId="77777777" w:rsidR="007158F2" w:rsidRPr="00D37A71" w:rsidRDefault="007158F2" w:rsidP="008E26E9">
            <w:pPr>
              <w:spacing w:after="160" w:line="278" w:lineRule="auto"/>
            </w:pPr>
            <w:r w:rsidRPr="00D37A71">
              <w:t>3.1</w:t>
            </w:r>
          </w:p>
        </w:tc>
        <w:tc>
          <w:tcPr>
            <w:tcW w:w="0" w:type="auto"/>
            <w:hideMark/>
          </w:tcPr>
          <w:p w14:paraId="6AB79E83" w14:textId="77777777" w:rsidR="007158F2" w:rsidRPr="00D37A71" w:rsidRDefault="007158F2" w:rsidP="008E26E9">
            <w:pPr>
              <w:spacing w:after="160" w:line="278" w:lineRule="auto"/>
            </w:pPr>
            <w:r w:rsidRPr="00D37A71">
              <w:t>“</w:t>
            </w:r>
            <w:proofErr w:type="gramStart"/>
            <w:r w:rsidRPr="00D37A71">
              <w:t>to</w:t>
            </w:r>
            <w:proofErr w:type="gramEnd"/>
            <w:r w:rsidRPr="00D37A71">
              <w:t xml:space="preserve"> inform and facilitate policy change, intervention strategies, and the continued monitoring of change” (University of Manchester, 2025, p. </w:t>
            </w:r>
            <w:r>
              <w:t>4</w:t>
            </w:r>
            <w:r w:rsidRPr="00D37A71">
              <w:t>).</w:t>
            </w:r>
          </w:p>
        </w:tc>
      </w:tr>
      <w:tr w:rsidR="007158F2" w:rsidRPr="00D37A71" w14:paraId="113F82DA" w14:textId="77777777" w:rsidTr="008E26E9">
        <w:tc>
          <w:tcPr>
            <w:tcW w:w="0" w:type="auto"/>
            <w:hideMark/>
          </w:tcPr>
          <w:p w14:paraId="05A6777F" w14:textId="77777777" w:rsidR="007158F2" w:rsidRPr="00D37A71" w:rsidRDefault="007158F2" w:rsidP="008E26E9">
            <w:pPr>
              <w:spacing w:after="160" w:line="278" w:lineRule="auto"/>
            </w:pPr>
            <w:r w:rsidRPr="00D37A71">
              <w:t>RQ1</w:t>
            </w:r>
          </w:p>
        </w:tc>
        <w:tc>
          <w:tcPr>
            <w:tcW w:w="0" w:type="auto"/>
            <w:hideMark/>
          </w:tcPr>
          <w:p w14:paraId="5E42FA0F" w14:textId="77777777" w:rsidR="007158F2" w:rsidRPr="00D37A71" w:rsidRDefault="007158F2" w:rsidP="008E26E9">
            <w:pPr>
              <w:spacing w:after="160" w:line="278" w:lineRule="auto"/>
            </w:pPr>
            <w:r w:rsidRPr="00D37A71">
              <w:t>Strategic institutional embedding of EDI</w:t>
            </w:r>
          </w:p>
        </w:tc>
        <w:tc>
          <w:tcPr>
            <w:tcW w:w="0" w:type="auto"/>
            <w:hideMark/>
          </w:tcPr>
          <w:p w14:paraId="4A7FF0C2" w14:textId="77777777" w:rsidR="007158F2" w:rsidRPr="00D37A71" w:rsidRDefault="007158F2" w:rsidP="008E26E9">
            <w:pPr>
              <w:spacing w:after="160" w:line="278" w:lineRule="auto"/>
            </w:pPr>
            <w:r w:rsidRPr="00D37A71">
              <w:t>Commitment to reducing pay gaps (implementation intent)</w:t>
            </w:r>
          </w:p>
        </w:tc>
        <w:tc>
          <w:tcPr>
            <w:tcW w:w="0" w:type="auto"/>
            <w:hideMark/>
          </w:tcPr>
          <w:p w14:paraId="29441E1E" w14:textId="77777777" w:rsidR="007158F2" w:rsidRPr="00D37A71" w:rsidRDefault="007158F2" w:rsidP="008E26E9">
            <w:pPr>
              <w:spacing w:after="160" w:line="278" w:lineRule="auto"/>
            </w:pPr>
            <w:r w:rsidRPr="00D37A71">
              <w:t>3.1</w:t>
            </w:r>
          </w:p>
        </w:tc>
        <w:tc>
          <w:tcPr>
            <w:tcW w:w="0" w:type="auto"/>
            <w:hideMark/>
          </w:tcPr>
          <w:p w14:paraId="35441DFF" w14:textId="77777777" w:rsidR="007158F2" w:rsidRPr="00D37A71" w:rsidRDefault="007158F2" w:rsidP="008E26E9">
            <w:pPr>
              <w:spacing w:after="160" w:line="278" w:lineRule="auto"/>
            </w:pPr>
            <w:r w:rsidRPr="00D37A71">
              <w:t xml:space="preserve">“We’re committed to reducing pay gaps wherever </w:t>
            </w:r>
            <w:r w:rsidRPr="00D37A71">
              <w:lastRenderedPageBreak/>
              <w:t>they exist.” (University of Manchester, 2024a, p. 1</w:t>
            </w:r>
            <w:r>
              <w:t>5</w:t>
            </w:r>
            <w:r w:rsidRPr="00D37A71">
              <w:t>).</w:t>
            </w:r>
          </w:p>
        </w:tc>
      </w:tr>
      <w:tr w:rsidR="007158F2" w:rsidRPr="00D37A71" w14:paraId="49A37683" w14:textId="77777777" w:rsidTr="008E26E9">
        <w:tc>
          <w:tcPr>
            <w:tcW w:w="0" w:type="auto"/>
            <w:hideMark/>
          </w:tcPr>
          <w:p w14:paraId="4C8B960C" w14:textId="77777777" w:rsidR="007158F2" w:rsidRPr="00D37A71" w:rsidRDefault="007158F2" w:rsidP="008E26E9">
            <w:pPr>
              <w:spacing w:after="160" w:line="278" w:lineRule="auto"/>
            </w:pPr>
            <w:r w:rsidRPr="00D37A71">
              <w:lastRenderedPageBreak/>
              <w:t>RQ1</w:t>
            </w:r>
          </w:p>
        </w:tc>
        <w:tc>
          <w:tcPr>
            <w:tcW w:w="0" w:type="auto"/>
            <w:hideMark/>
          </w:tcPr>
          <w:p w14:paraId="220834AF" w14:textId="77777777" w:rsidR="007158F2" w:rsidRPr="00D37A71" w:rsidRDefault="007158F2" w:rsidP="008E26E9">
            <w:pPr>
              <w:spacing w:after="160" w:line="278" w:lineRule="auto"/>
            </w:pPr>
            <w:r w:rsidRPr="00D37A71">
              <w:t>Organisational and structural reform</w:t>
            </w:r>
          </w:p>
        </w:tc>
        <w:tc>
          <w:tcPr>
            <w:tcW w:w="0" w:type="auto"/>
            <w:hideMark/>
          </w:tcPr>
          <w:p w14:paraId="2FD9EDC0" w14:textId="77777777" w:rsidR="007158F2" w:rsidRPr="00D37A71" w:rsidRDefault="007158F2" w:rsidP="008E26E9">
            <w:pPr>
              <w:spacing w:after="160" w:line="278" w:lineRule="auto"/>
            </w:pPr>
            <w:r w:rsidRPr="00D37A71">
              <w:t>Senior leadership appointment to drive EDI</w:t>
            </w:r>
          </w:p>
        </w:tc>
        <w:tc>
          <w:tcPr>
            <w:tcW w:w="0" w:type="auto"/>
            <w:hideMark/>
          </w:tcPr>
          <w:p w14:paraId="56829FDD" w14:textId="77777777" w:rsidR="007158F2" w:rsidRPr="00D37A71" w:rsidRDefault="007158F2" w:rsidP="008E26E9">
            <w:pPr>
              <w:spacing w:after="160" w:line="278" w:lineRule="auto"/>
            </w:pPr>
            <w:r w:rsidRPr="00D37A71">
              <w:t>3.1</w:t>
            </w:r>
          </w:p>
        </w:tc>
        <w:tc>
          <w:tcPr>
            <w:tcW w:w="0" w:type="auto"/>
            <w:hideMark/>
          </w:tcPr>
          <w:p w14:paraId="6C3BB534" w14:textId="77777777" w:rsidR="007158F2" w:rsidRPr="00D37A71" w:rsidRDefault="007158F2" w:rsidP="008E26E9">
            <w:pPr>
              <w:spacing w:after="160" w:line="278" w:lineRule="auto"/>
            </w:pPr>
            <w:r w:rsidRPr="00D37A71">
              <w:t>“Appointed a new Executive Director of EDI who will reshape our EDI ambitions.” (University of Manchester, 2024a, p. 15).</w:t>
            </w:r>
          </w:p>
        </w:tc>
      </w:tr>
      <w:tr w:rsidR="007158F2" w:rsidRPr="00D37A71" w14:paraId="78254D02" w14:textId="77777777" w:rsidTr="008E26E9">
        <w:tc>
          <w:tcPr>
            <w:tcW w:w="0" w:type="auto"/>
            <w:hideMark/>
          </w:tcPr>
          <w:p w14:paraId="1F066BB7" w14:textId="77777777" w:rsidR="007158F2" w:rsidRPr="00D37A71" w:rsidRDefault="007158F2" w:rsidP="008E26E9">
            <w:pPr>
              <w:spacing w:after="160" w:line="278" w:lineRule="auto"/>
            </w:pPr>
            <w:r w:rsidRPr="00D37A71">
              <w:t>RQ1</w:t>
            </w:r>
          </w:p>
        </w:tc>
        <w:tc>
          <w:tcPr>
            <w:tcW w:w="0" w:type="auto"/>
            <w:hideMark/>
          </w:tcPr>
          <w:p w14:paraId="545F0314" w14:textId="77777777" w:rsidR="007158F2" w:rsidRPr="00D37A71" w:rsidRDefault="007158F2" w:rsidP="008E26E9">
            <w:pPr>
              <w:spacing w:after="160" w:line="278" w:lineRule="auto"/>
            </w:pPr>
            <w:r w:rsidRPr="00D37A71">
              <w:t>Organisational and structural reform</w:t>
            </w:r>
          </w:p>
        </w:tc>
        <w:tc>
          <w:tcPr>
            <w:tcW w:w="0" w:type="auto"/>
            <w:hideMark/>
          </w:tcPr>
          <w:p w14:paraId="5C05E790" w14:textId="77777777" w:rsidR="007158F2" w:rsidRPr="00D37A71" w:rsidRDefault="007158F2" w:rsidP="008E26E9">
            <w:pPr>
              <w:spacing w:after="160" w:line="278" w:lineRule="auto"/>
            </w:pPr>
            <w:r w:rsidRPr="00D37A71">
              <w:t>HR/People Directorate restructuring to address pay gaps</w:t>
            </w:r>
          </w:p>
        </w:tc>
        <w:tc>
          <w:tcPr>
            <w:tcW w:w="0" w:type="auto"/>
            <w:hideMark/>
          </w:tcPr>
          <w:p w14:paraId="69915C39" w14:textId="77777777" w:rsidR="007158F2" w:rsidRPr="00D37A71" w:rsidRDefault="007158F2" w:rsidP="008E26E9">
            <w:pPr>
              <w:spacing w:after="160" w:line="278" w:lineRule="auto"/>
            </w:pPr>
            <w:r w:rsidRPr="00D37A71">
              <w:t>3.1</w:t>
            </w:r>
          </w:p>
        </w:tc>
        <w:tc>
          <w:tcPr>
            <w:tcW w:w="0" w:type="auto"/>
            <w:hideMark/>
          </w:tcPr>
          <w:p w14:paraId="088BD98B" w14:textId="77777777" w:rsidR="007158F2" w:rsidRPr="00D37A71" w:rsidRDefault="007158F2" w:rsidP="008E26E9">
            <w:pPr>
              <w:spacing w:after="160" w:line="278" w:lineRule="auto"/>
            </w:pPr>
            <w:r w:rsidRPr="00327BFC">
              <w:t>“Reshaped our People Directorate.” (University of Manchester, 2024a, p. 15).</w:t>
            </w:r>
          </w:p>
        </w:tc>
      </w:tr>
      <w:tr w:rsidR="007158F2" w:rsidRPr="00D37A71" w14:paraId="1AC042E8" w14:textId="77777777" w:rsidTr="008E26E9">
        <w:tc>
          <w:tcPr>
            <w:tcW w:w="0" w:type="auto"/>
            <w:hideMark/>
          </w:tcPr>
          <w:p w14:paraId="4A0849AD" w14:textId="77777777" w:rsidR="007158F2" w:rsidRPr="00D37A71" w:rsidRDefault="007158F2" w:rsidP="008E26E9">
            <w:pPr>
              <w:spacing w:after="160" w:line="278" w:lineRule="auto"/>
            </w:pPr>
            <w:r w:rsidRPr="00D37A71">
              <w:t>RQ1</w:t>
            </w:r>
          </w:p>
        </w:tc>
        <w:tc>
          <w:tcPr>
            <w:tcW w:w="0" w:type="auto"/>
            <w:hideMark/>
          </w:tcPr>
          <w:p w14:paraId="3AFF46BE" w14:textId="77777777" w:rsidR="007158F2" w:rsidRPr="00D37A71" w:rsidRDefault="007158F2" w:rsidP="008E26E9">
            <w:pPr>
              <w:spacing w:after="160" w:line="278" w:lineRule="auto"/>
            </w:pPr>
            <w:r w:rsidRPr="00D37A71">
              <w:t>Monitoring and transparency mechanisms</w:t>
            </w:r>
          </w:p>
        </w:tc>
        <w:tc>
          <w:tcPr>
            <w:tcW w:w="0" w:type="auto"/>
            <w:hideMark/>
          </w:tcPr>
          <w:p w14:paraId="6E49B924" w14:textId="77777777" w:rsidR="007158F2" w:rsidRPr="00D37A71" w:rsidRDefault="007158F2" w:rsidP="008E26E9">
            <w:pPr>
              <w:spacing w:after="160" w:line="278" w:lineRule="auto"/>
            </w:pPr>
            <w:r w:rsidRPr="00D37A71">
              <w:t>Real-time EDI dashboard reporting</w:t>
            </w:r>
          </w:p>
        </w:tc>
        <w:tc>
          <w:tcPr>
            <w:tcW w:w="0" w:type="auto"/>
            <w:hideMark/>
          </w:tcPr>
          <w:p w14:paraId="1D509D48" w14:textId="77777777" w:rsidR="007158F2" w:rsidRPr="00D37A71" w:rsidRDefault="007158F2" w:rsidP="008E26E9">
            <w:pPr>
              <w:spacing w:after="160" w:line="278" w:lineRule="auto"/>
            </w:pPr>
            <w:r w:rsidRPr="00D37A71">
              <w:t>3.1</w:t>
            </w:r>
          </w:p>
        </w:tc>
        <w:tc>
          <w:tcPr>
            <w:tcW w:w="0" w:type="auto"/>
            <w:hideMark/>
          </w:tcPr>
          <w:p w14:paraId="38AE88BB" w14:textId="77777777" w:rsidR="007158F2" w:rsidRPr="00D37A71" w:rsidRDefault="007158F2" w:rsidP="008E26E9">
            <w:pPr>
              <w:spacing w:after="160" w:line="278" w:lineRule="auto"/>
            </w:pPr>
            <w:r w:rsidRPr="00D37A71">
              <w:t>“</w:t>
            </w:r>
            <w:proofErr w:type="gramStart"/>
            <w:r w:rsidRPr="00D37A71">
              <w:t>report</w:t>
            </w:r>
            <w:proofErr w:type="gramEnd"/>
            <w:r w:rsidRPr="00D37A71">
              <w:t xml:space="preserve"> in real-time on EDI data at key points in recruitment, promotion and turnover” (University of Manchester, 2024a, p. 15).</w:t>
            </w:r>
          </w:p>
        </w:tc>
      </w:tr>
      <w:tr w:rsidR="007158F2" w:rsidRPr="00D37A71" w14:paraId="5484208A" w14:textId="77777777" w:rsidTr="008E26E9">
        <w:tc>
          <w:tcPr>
            <w:tcW w:w="0" w:type="auto"/>
            <w:hideMark/>
          </w:tcPr>
          <w:p w14:paraId="5CD37102" w14:textId="77777777" w:rsidR="007158F2" w:rsidRPr="00D37A71" w:rsidRDefault="007158F2" w:rsidP="008E26E9">
            <w:pPr>
              <w:spacing w:after="160" w:line="278" w:lineRule="auto"/>
            </w:pPr>
            <w:r w:rsidRPr="00D37A71">
              <w:t>RQ1</w:t>
            </w:r>
          </w:p>
        </w:tc>
        <w:tc>
          <w:tcPr>
            <w:tcW w:w="0" w:type="auto"/>
            <w:hideMark/>
          </w:tcPr>
          <w:p w14:paraId="36A33271" w14:textId="77777777" w:rsidR="007158F2" w:rsidRPr="00D37A71" w:rsidRDefault="007158F2" w:rsidP="008E26E9">
            <w:pPr>
              <w:spacing w:after="160" w:line="278" w:lineRule="auto"/>
            </w:pPr>
            <w:r w:rsidRPr="00D37A71">
              <w:t>Workforce training and compliance mechanisms</w:t>
            </w:r>
          </w:p>
        </w:tc>
        <w:tc>
          <w:tcPr>
            <w:tcW w:w="0" w:type="auto"/>
            <w:hideMark/>
          </w:tcPr>
          <w:p w14:paraId="2DD2F54A" w14:textId="77777777" w:rsidR="007158F2" w:rsidRPr="00D37A71" w:rsidRDefault="007158F2" w:rsidP="008E26E9">
            <w:pPr>
              <w:spacing w:after="160" w:line="278" w:lineRule="auto"/>
            </w:pPr>
            <w:r w:rsidRPr="00D37A71">
              <w:t>Mandatory EDI training rollout</w:t>
            </w:r>
          </w:p>
        </w:tc>
        <w:tc>
          <w:tcPr>
            <w:tcW w:w="0" w:type="auto"/>
            <w:hideMark/>
          </w:tcPr>
          <w:p w14:paraId="1118E25D" w14:textId="77777777" w:rsidR="007158F2" w:rsidRPr="00D37A71" w:rsidRDefault="007158F2" w:rsidP="008E26E9">
            <w:pPr>
              <w:spacing w:after="160" w:line="278" w:lineRule="auto"/>
            </w:pPr>
            <w:r w:rsidRPr="00D37A71">
              <w:t>3.1</w:t>
            </w:r>
          </w:p>
        </w:tc>
        <w:tc>
          <w:tcPr>
            <w:tcW w:w="0" w:type="auto"/>
            <w:hideMark/>
          </w:tcPr>
          <w:p w14:paraId="02B0D265" w14:textId="77777777" w:rsidR="007158F2" w:rsidRPr="00D37A71" w:rsidRDefault="007158F2" w:rsidP="008E26E9">
            <w:pPr>
              <w:spacing w:after="160" w:line="278" w:lineRule="auto"/>
            </w:pPr>
            <w:r w:rsidRPr="00D37A71">
              <w:t>“Rolled out Essentials training to 95% of colleagues” (University of Manchester, 2024a, p. 15).</w:t>
            </w:r>
          </w:p>
        </w:tc>
      </w:tr>
      <w:tr w:rsidR="007158F2" w:rsidRPr="00D37A71" w14:paraId="1ECA73B4" w14:textId="77777777" w:rsidTr="008E26E9">
        <w:tc>
          <w:tcPr>
            <w:tcW w:w="0" w:type="auto"/>
            <w:hideMark/>
          </w:tcPr>
          <w:p w14:paraId="6BE142A5" w14:textId="77777777" w:rsidR="007158F2" w:rsidRPr="00D37A71" w:rsidRDefault="007158F2" w:rsidP="008E26E9">
            <w:pPr>
              <w:spacing w:after="160" w:line="278" w:lineRule="auto"/>
            </w:pPr>
            <w:r w:rsidRPr="00D37A71">
              <w:t>RQ1</w:t>
            </w:r>
          </w:p>
        </w:tc>
        <w:tc>
          <w:tcPr>
            <w:tcW w:w="0" w:type="auto"/>
            <w:hideMark/>
          </w:tcPr>
          <w:p w14:paraId="3BC6B618" w14:textId="77777777" w:rsidR="007158F2" w:rsidRPr="00D37A71" w:rsidRDefault="007158F2" w:rsidP="008E26E9">
            <w:pPr>
              <w:spacing w:after="160" w:line="278" w:lineRule="auto"/>
            </w:pPr>
            <w:r w:rsidRPr="00D37A71">
              <w:t>Inclusive employment practices</w:t>
            </w:r>
          </w:p>
        </w:tc>
        <w:tc>
          <w:tcPr>
            <w:tcW w:w="0" w:type="auto"/>
            <w:hideMark/>
          </w:tcPr>
          <w:p w14:paraId="51447DD3" w14:textId="77777777" w:rsidR="007158F2" w:rsidRPr="00D37A71" w:rsidRDefault="007158F2" w:rsidP="008E26E9">
            <w:pPr>
              <w:spacing w:after="160" w:line="278" w:lineRule="auto"/>
            </w:pPr>
            <w:r w:rsidRPr="00D37A71">
              <w:t>Inclusive recruitment/promotion/reward processes</w:t>
            </w:r>
          </w:p>
        </w:tc>
        <w:tc>
          <w:tcPr>
            <w:tcW w:w="0" w:type="auto"/>
            <w:hideMark/>
          </w:tcPr>
          <w:p w14:paraId="4B9BEFF4" w14:textId="77777777" w:rsidR="007158F2" w:rsidRPr="00D37A71" w:rsidRDefault="007158F2" w:rsidP="008E26E9">
            <w:pPr>
              <w:spacing w:after="160" w:line="278" w:lineRule="auto"/>
            </w:pPr>
            <w:r w:rsidRPr="00D37A71">
              <w:t>3.1</w:t>
            </w:r>
          </w:p>
        </w:tc>
        <w:tc>
          <w:tcPr>
            <w:tcW w:w="0" w:type="auto"/>
            <w:hideMark/>
          </w:tcPr>
          <w:p w14:paraId="3851377C" w14:textId="77777777" w:rsidR="007158F2" w:rsidRPr="00D37A71" w:rsidRDefault="007158F2" w:rsidP="008E26E9">
            <w:pPr>
              <w:spacing w:after="160" w:line="278" w:lineRule="auto"/>
            </w:pPr>
            <w:r w:rsidRPr="00D37A71">
              <w:t xml:space="preserve">“Making sure our recruitment, promotion, and reward processes are </w:t>
            </w:r>
            <w:r w:rsidRPr="00D37A71">
              <w:lastRenderedPageBreak/>
              <w:t>inclusive and transparent.” (University of Manchester, 2024a, p. 1</w:t>
            </w:r>
            <w:r>
              <w:t>5</w:t>
            </w:r>
            <w:r w:rsidRPr="00D37A71">
              <w:t>).</w:t>
            </w:r>
          </w:p>
        </w:tc>
      </w:tr>
    </w:tbl>
    <w:p w14:paraId="57C58A32" w14:textId="77777777" w:rsidR="007158F2" w:rsidRDefault="007158F2" w:rsidP="007158F2">
      <w:pPr>
        <w:rPr>
          <w:lang w:val="en-US"/>
        </w:rPr>
      </w:pPr>
    </w:p>
    <w:p w14:paraId="4A0EE149" w14:textId="77777777" w:rsidR="007158F2" w:rsidRDefault="007158F2" w:rsidP="007158F2">
      <w:pPr>
        <w:rPr>
          <w:b/>
          <w:bCs/>
          <w:sz w:val="24"/>
          <w:szCs w:val="24"/>
        </w:rPr>
      </w:pPr>
    </w:p>
    <w:p w14:paraId="09E89025" w14:textId="77777777" w:rsidR="007158F2" w:rsidRDefault="007158F2" w:rsidP="007158F2">
      <w:pPr>
        <w:rPr>
          <w:b/>
          <w:bCs/>
          <w:sz w:val="24"/>
          <w:szCs w:val="24"/>
        </w:rPr>
      </w:pPr>
    </w:p>
    <w:p w14:paraId="0DD6F71A" w14:textId="77777777" w:rsidR="007158F2" w:rsidRDefault="007158F2" w:rsidP="007158F2">
      <w:pPr>
        <w:rPr>
          <w:b/>
          <w:bCs/>
          <w:sz w:val="24"/>
          <w:szCs w:val="24"/>
        </w:rPr>
      </w:pPr>
    </w:p>
    <w:p w14:paraId="7C839AB6" w14:textId="77777777" w:rsidR="007158F2" w:rsidRDefault="007158F2" w:rsidP="007158F2">
      <w:pPr>
        <w:rPr>
          <w:b/>
          <w:bCs/>
          <w:sz w:val="24"/>
          <w:szCs w:val="24"/>
        </w:rPr>
      </w:pPr>
    </w:p>
    <w:p w14:paraId="505376C8" w14:textId="37E58DF4" w:rsidR="007158F2" w:rsidRPr="00985C38" w:rsidRDefault="007158F2" w:rsidP="007158F2">
      <w:pPr>
        <w:rPr>
          <w:b/>
          <w:bCs/>
          <w:sz w:val="24"/>
          <w:szCs w:val="24"/>
        </w:rPr>
      </w:pPr>
      <w:r w:rsidRPr="00985C38">
        <w:rPr>
          <w:b/>
          <w:bCs/>
          <w:sz w:val="24"/>
          <w:szCs w:val="24"/>
        </w:rPr>
        <w:t>Table A1.3: Overview of Qualitative Data Analysis Underpinning RQ1 – Manchester Metropolitan University (2020–2025)</w:t>
      </w:r>
    </w:p>
    <w:tbl>
      <w:tblPr>
        <w:tblStyle w:val="TableGrid"/>
        <w:tblW w:w="0" w:type="auto"/>
        <w:tblLook w:val="04A0" w:firstRow="1" w:lastRow="0" w:firstColumn="1" w:lastColumn="0" w:noHBand="0" w:noVBand="1"/>
      </w:tblPr>
      <w:tblGrid>
        <w:gridCol w:w="1789"/>
        <w:gridCol w:w="1705"/>
        <w:gridCol w:w="1727"/>
        <w:gridCol w:w="1192"/>
        <w:gridCol w:w="2603"/>
      </w:tblGrid>
      <w:tr w:rsidR="007158F2" w:rsidRPr="00117483" w14:paraId="59237BB3" w14:textId="77777777" w:rsidTr="008E26E9">
        <w:tc>
          <w:tcPr>
            <w:tcW w:w="0" w:type="auto"/>
            <w:shd w:val="clear" w:color="auto" w:fill="4C94D8" w:themeFill="text2" w:themeFillTint="80"/>
            <w:hideMark/>
          </w:tcPr>
          <w:p w14:paraId="2D00AF99" w14:textId="77777777" w:rsidR="007158F2" w:rsidRPr="00117483" w:rsidRDefault="007158F2" w:rsidP="008E26E9">
            <w:pPr>
              <w:spacing w:after="160" w:line="278" w:lineRule="auto"/>
              <w:rPr>
                <w:b/>
                <w:bCs/>
              </w:rPr>
            </w:pPr>
            <w:r w:rsidRPr="00117483">
              <w:rPr>
                <w:b/>
                <w:bCs/>
              </w:rPr>
              <w:t>Research Question</w:t>
            </w:r>
          </w:p>
        </w:tc>
        <w:tc>
          <w:tcPr>
            <w:tcW w:w="0" w:type="auto"/>
            <w:shd w:val="clear" w:color="auto" w:fill="4C94D8" w:themeFill="text2" w:themeFillTint="80"/>
            <w:hideMark/>
          </w:tcPr>
          <w:p w14:paraId="0E5D4B5D" w14:textId="77777777" w:rsidR="007158F2" w:rsidRPr="00117483" w:rsidRDefault="007158F2" w:rsidP="008E26E9">
            <w:pPr>
              <w:spacing w:after="160" w:line="278" w:lineRule="auto"/>
              <w:rPr>
                <w:b/>
                <w:bCs/>
              </w:rPr>
            </w:pPr>
            <w:r w:rsidRPr="00117483">
              <w:rPr>
                <w:b/>
                <w:bCs/>
              </w:rPr>
              <w:t>Main Theme</w:t>
            </w:r>
          </w:p>
        </w:tc>
        <w:tc>
          <w:tcPr>
            <w:tcW w:w="0" w:type="auto"/>
            <w:shd w:val="clear" w:color="auto" w:fill="4C94D8" w:themeFill="text2" w:themeFillTint="80"/>
            <w:hideMark/>
          </w:tcPr>
          <w:p w14:paraId="2C20ECE7" w14:textId="77777777" w:rsidR="007158F2" w:rsidRPr="00117483" w:rsidRDefault="007158F2" w:rsidP="008E26E9">
            <w:pPr>
              <w:spacing w:after="160" w:line="278" w:lineRule="auto"/>
              <w:rPr>
                <w:b/>
                <w:bCs/>
              </w:rPr>
            </w:pPr>
            <w:r w:rsidRPr="00117483">
              <w:rPr>
                <w:b/>
                <w:bCs/>
              </w:rPr>
              <w:t>Sub-theme / Code</w:t>
            </w:r>
          </w:p>
        </w:tc>
        <w:tc>
          <w:tcPr>
            <w:tcW w:w="0" w:type="auto"/>
            <w:shd w:val="clear" w:color="auto" w:fill="4C94D8" w:themeFill="text2" w:themeFillTint="80"/>
            <w:hideMark/>
          </w:tcPr>
          <w:p w14:paraId="062D23A7" w14:textId="77777777" w:rsidR="007158F2" w:rsidRPr="00117483" w:rsidRDefault="007158F2" w:rsidP="008E26E9">
            <w:pPr>
              <w:spacing w:after="160" w:line="278" w:lineRule="auto"/>
              <w:rPr>
                <w:b/>
                <w:bCs/>
              </w:rPr>
            </w:pPr>
            <w:r w:rsidRPr="00117483">
              <w:rPr>
                <w:b/>
                <w:bCs/>
              </w:rPr>
              <w:t>Findings Section Ref</w:t>
            </w:r>
          </w:p>
        </w:tc>
        <w:tc>
          <w:tcPr>
            <w:tcW w:w="0" w:type="auto"/>
            <w:shd w:val="clear" w:color="auto" w:fill="4C94D8" w:themeFill="text2" w:themeFillTint="80"/>
            <w:hideMark/>
          </w:tcPr>
          <w:p w14:paraId="0CBD66F5" w14:textId="77777777" w:rsidR="007158F2" w:rsidRPr="00117483" w:rsidRDefault="007158F2" w:rsidP="008E26E9">
            <w:pPr>
              <w:spacing w:after="160" w:line="278" w:lineRule="auto"/>
              <w:rPr>
                <w:b/>
                <w:bCs/>
              </w:rPr>
            </w:pPr>
            <w:r w:rsidRPr="008C70AB">
              <w:rPr>
                <w:b/>
                <w:bCs/>
              </w:rPr>
              <w:t xml:space="preserve">Illustrative Extract </w:t>
            </w:r>
          </w:p>
        </w:tc>
      </w:tr>
      <w:tr w:rsidR="007158F2" w:rsidRPr="008C70AB" w14:paraId="7A9102E5" w14:textId="77777777" w:rsidTr="008E26E9">
        <w:tc>
          <w:tcPr>
            <w:tcW w:w="0" w:type="auto"/>
            <w:hideMark/>
          </w:tcPr>
          <w:p w14:paraId="414D72CB" w14:textId="77777777" w:rsidR="007158F2" w:rsidRPr="004204CB" w:rsidRDefault="007158F2" w:rsidP="008E26E9">
            <w:pPr>
              <w:spacing w:after="160" w:line="278" w:lineRule="auto"/>
              <w:rPr>
                <w:b/>
                <w:bCs/>
              </w:rPr>
            </w:pPr>
            <w:r w:rsidRPr="004204CB">
              <w:rPr>
                <w:b/>
                <w:bCs/>
              </w:rPr>
              <w:t>RQ1: How were EDI strategies implemented (2020–2025)?</w:t>
            </w:r>
          </w:p>
        </w:tc>
        <w:tc>
          <w:tcPr>
            <w:tcW w:w="0" w:type="auto"/>
            <w:hideMark/>
          </w:tcPr>
          <w:p w14:paraId="5339BDBF" w14:textId="77777777" w:rsidR="007158F2" w:rsidRPr="008C70AB" w:rsidRDefault="007158F2" w:rsidP="008E26E9">
            <w:pPr>
              <w:spacing w:after="160" w:line="278" w:lineRule="auto"/>
            </w:pPr>
            <w:r w:rsidRPr="008C70AB">
              <w:t>Strategic institutional embedding of EDI</w:t>
            </w:r>
          </w:p>
        </w:tc>
        <w:tc>
          <w:tcPr>
            <w:tcW w:w="0" w:type="auto"/>
            <w:hideMark/>
          </w:tcPr>
          <w:p w14:paraId="693126B8" w14:textId="77777777" w:rsidR="007158F2" w:rsidRPr="008C70AB" w:rsidRDefault="007158F2" w:rsidP="008E26E9">
            <w:pPr>
              <w:spacing w:after="160" w:line="278" w:lineRule="auto"/>
            </w:pPr>
            <w:r w:rsidRPr="008C70AB">
              <w:t>Launch of Inclusive and Diverse Culture (IDC) Strategy</w:t>
            </w:r>
          </w:p>
        </w:tc>
        <w:tc>
          <w:tcPr>
            <w:tcW w:w="0" w:type="auto"/>
            <w:hideMark/>
          </w:tcPr>
          <w:p w14:paraId="1DA754FC" w14:textId="77777777" w:rsidR="007158F2" w:rsidRPr="008C70AB" w:rsidRDefault="007158F2" w:rsidP="008E26E9">
            <w:pPr>
              <w:spacing w:after="160" w:line="278" w:lineRule="auto"/>
            </w:pPr>
            <w:r w:rsidRPr="008C70AB">
              <w:t>3.1</w:t>
            </w:r>
          </w:p>
        </w:tc>
        <w:tc>
          <w:tcPr>
            <w:tcW w:w="0" w:type="auto"/>
            <w:hideMark/>
          </w:tcPr>
          <w:p w14:paraId="37740FDB" w14:textId="77777777" w:rsidR="007158F2" w:rsidRPr="008C70AB" w:rsidRDefault="007158F2" w:rsidP="008E26E9">
            <w:pPr>
              <w:spacing w:after="160" w:line="278" w:lineRule="auto"/>
            </w:pPr>
            <w:r w:rsidRPr="008C70AB">
              <w:t>“There has been a focus on embedding the IDC strategy across the University…” (Manchester Metropolitan University, 2025a, p. 5).</w:t>
            </w:r>
          </w:p>
        </w:tc>
      </w:tr>
      <w:tr w:rsidR="007158F2" w:rsidRPr="008C70AB" w14:paraId="33913EE4" w14:textId="77777777" w:rsidTr="008E26E9">
        <w:tc>
          <w:tcPr>
            <w:tcW w:w="0" w:type="auto"/>
            <w:hideMark/>
          </w:tcPr>
          <w:p w14:paraId="28291031" w14:textId="77777777" w:rsidR="007158F2" w:rsidRPr="008C70AB" w:rsidRDefault="007158F2" w:rsidP="008E26E9">
            <w:pPr>
              <w:spacing w:after="160" w:line="278" w:lineRule="auto"/>
            </w:pPr>
            <w:r w:rsidRPr="008C70AB">
              <w:t>RQ1</w:t>
            </w:r>
          </w:p>
        </w:tc>
        <w:tc>
          <w:tcPr>
            <w:tcW w:w="0" w:type="auto"/>
            <w:hideMark/>
          </w:tcPr>
          <w:p w14:paraId="4A5EEB29" w14:textId="77777777" w:rsidR="007158F2" w:rsidRPr="008C70AB" w:rsidRDefault="007158F2" w:rsidP="008E26E9">
            <w:pPr>
              <w:spacing w:after="160" w:line="278" w:lineRule="auto"/>
            </w:pPr>
            <w:r w:rsidRPr="008C70AB">
              <w:t>Strategic institutional embedding of EDI</w:t>
            </w:r>
          </w:p>
        </w:tc>
        <w:tc>
          <w:tcPr>
            <w:tcW w:w="0" w:type="auto"/>
            <w:hideMark/>
          </w:tcPr>
          <w:p w14:paraId="3670690C" w14:textId="77777777" w:rsidR="007158F2" w:rsidRPr="008C70AB" w:rsidRDefault="007158F2" w:rsidP="008E26E9">
            <w:pPr>
              <w:spacing w:after="160" w:line="278" w:lineRule="auto"/>
            </w:pPr>
            <w:r w:rsidRPr="008C70AB">
              <w:t>Whole-institution embedding through engagement programme</w:t>
            </w:r>
          </w:p>
        </w:tc>
        <w:tc>
          <w:tcPr>
            <w:tcW w:w="0" w:type="auto"/>
            <w:hideMark/>
          </w:tcPr>
          <w:p w14:paraId="117AD372" w14:textId="77777777" w:rsidR="007158F2" w:rsidRPr="008C70AB" w:rsidRDefault="007158F2" w:rsidP="008E26E9">
            <w:pPr>
              <w:spacing w:after="160" w:line="278" w:lineRule="auto"/>
            </w:pPr>
            <w:r w:rsidRPr="008C70AB">
              <w:t>3.1</w:t>
            </w:r>
          </w:p>
        </w:tc>
        <w:tc>
          <w:tcPr>
            <w:tcW w:w="0" w:type="auto"/>
            <w:hideMark/>
          </w:tcPr>
          <w:p w14:paraId="300E66FA" w14:textId="77777777" w:rsidR="007158F2" w:rsidRPr="008C70AB" w:rsidRDefault="007158F2" w:rsidP="008E26E9">
            <w:pPr>
              <w:spacing w:after="160" w:line="278" w:lineRule="auto"/>
            </w:pPr>
            <w:r w:rsidRPr="008C70AB">
              <w:t>“Following the launch of the IDC strategy in 2024, an engagement programme was delivered to embed, mobilise and socialise the ambitions and strategic priorities across the institution.” (Manchester Metropolitan University, 2025a, p. 5).</w:t>
            </w:r>
          </w:p>
        </w:tc>
      </w:tr>
      <w:tr w:rsidR="007158F2" w:rsidRPr="008C70AB" w14:paraId="515D5542" w14:textId="77777777" w:rsidTr="008E26E9">
        <w:tc>
          <w:tcPr>
            <w:tcW w:w="0" w:type="auto"/>
            <w:hideMark/>
          </w:tcPr>
          <w:p w14:paraId="662681E6" w14:textId="77777777" w:rsidR="007158F2" w:rsidRPr="008C70AB" w:rsidRDefault="007158F2" w:rsidP="008E26E9">
            <w:pPr>
              <w:spacing w:after="160" w:line="278" w:lineRule="auto"/>
            </w:pPr>
            <w:r w:rsidRPr="008C70AB">
              <w:t>RQ1</w:t>
            </w:r>
          </w:p>
        </w:tc>
        <w:tc>
          <w:tcPr>
            <w:tcW w:w="0" w:type="auto"/>
            <w:hideMark/>
          </w:tcPr>
          <w:p w14:paraId="6E5242EC" w14:textId="77777777" w:rsidR="007158F2" w:rsidRPr="008C70AB" w:rsidRDefault="007158F2" w:rsidP="008E26E9">
            <w:pPr>
              <w:spacing w:after="160" w:line="278" w:lineRule="auto"/>
            </w:pPr>
            <w:r w:rsidRPr="008C70AB">
              <w:t>Governance and accountability structures</w:t>
            </w:r>
          </w:p>
        </w:tc>
        <w:tc>
          <w:tcPr>
            <w:tcW w:w="0" w:type="auto"/>
            <w:hideMark/>
          </w:tcPr>
          <w:p w14:paraId="64DE46ED" w14:textId="77777777" w:rsidR="007158F2" w:rsidRPr="008C70AB" w:rsidRDefault="007158F2" w:rsidP="008E26E9">
            <w:pPr>
              <w:spacing w:after="160" w:line="278" w:lineRule="auto"/>
            </w:pPr>
            <w:r w:rsidRPr="008C70AB">
              <w:t>EDI Strategy Board oversight</w:t>
            </w:r>
          </w:p>
        </w:tc>
        <w:tc>
          <w:tcPr>
            <w:tcW w:w="0" w:type="auto"/>
            <w:hideMark/>
          </w:tcPr>
          <w:p w14:paraId="3E53E137" w14:textId="77777777" w:rsidR="007158F2" w:rsidRPr="008C70AB" w:rsidRDefault="007158F2" w:rsidP="008E26E9">
            <w:pPr>
              <w:spacing w:after="160" w:line="278" w:lineRule="auto"/>
            </w:pPr>
            <w:r w:rsidRPr="008C70AB">
              <w:t>3.1</w:t>
            </w:r>
          </w:p>
        </w:tc>
        <w:tc>
          <w:tcPr>
            <w:tcW w:w="0" w:type="auto"/>
            <w:hideMark/>
          </w:tcPr>
          <w:p w14:paraId="32F3E322" w14:textId="77777777" w:rsidR="007158F2" w:rsidRPr="008C70AB" w:rsidRDefault="007158F2" w:rsidP="008E26E9">
            <w:pPr>
              <w:spacing w:after="160" w:line="278" w:lineRule="auto"/>
            </w:pPr>
            <w:r w:rsidRPr="008C70AB">
              <w:t xml:space="preserve">“Following the pilot, the EDI Strategy Board approved the roll-out of the programme across faculties.” (Manchester </w:t>
            </w:r>
            <w:r w:rsidRPr="008C70AB">
              <w:lastRenderedPageBreak/>
              <w:t>Metropolitan University, 2025a, p. 7).</w:t>
            </w:r>
          </w:p>
        </w:tc>
      </w:tr>
      <w:tr w:rsidR="007158F2" w:rsidRPr="008C70AB" w14:paraId="525254D1" w14:textId="77777777" w:rsidTr="008E26E9">
        <w:tc>
          <w:tcPr>
            <w:tcW w:w="0" w:type="auto"/>
            <w:hideMark/>
          </w:tcPr>
          <w:p w14:paraId="049CB0E1" w14:textId="77777777" w:rsidR="007158F2" w:rsidRPr="008C70AB" w:rsidRDefault="007158F2" w:rsidP="008E26E9">
            <w:pPr>
              <w:spacing w:after="160" w:line="278" w:lineRule="auto"/>
            </w:pPr>
            <w:r w:rsidRPr="008C70AB">
              <w:lastRenderedPageBreak/>
              <w:t>RQ1</w:t>
            </w:r>
          </w:p>
        </w:tc>
        <w:tc>
          <w:tcPr>
            <w:tcW w:w="0" w:type="auto"/>
            <w:hideMark/>
          </w:tcPr>
          <w:p w14:paraId="0A3A4A6F" w14:textId="77777777" w:rsidR="007158F2" w:rsidRPr="008C70AB" w:rsidRDefault="007158F2" w:rsidP="008E26E9">
            <w:pPr>
              <w:spacing w:after="160" w:line="278" w:lineRule="auto"/>
            </w:pPr>
            <w:r w:rsidRPr="008C70AB">
              <w:t>Leadership and culture change initiatives</w:t>
            </w:r>
          </w:p>
        </w:tc>
        <w:tc>
          <w:tcPr>
            <w:tcW w:w="0" w:type="auto"/>
            <w:hideMark/>
          </w:tcPr>
          <w:p w14:paraId="79463B9E" w14:textId="77777777" w:rsidR="007158F2" w:rsidRPr="008C70AB" w:rsidRDefault="007158F2" w:rsidP="008E26E9">
            <w:pPr>
              <w:spacing w:after="160" w:line="278" w:lineRule="auto"/>
            </w:pPr>
            <w:r w:rsidRPr="008C70AB">
              <w:t>Intentional About Inclusion Programme</w:t>
            </w:r>
          </w:p>
        </w:tc>
        <w:tc>
          <w:tcPr>
            <w:tcW w:w="0" w:type="auto"/>
            <w:hideMark/>
          </w:tcPr>
          <w:p w14:paraId="166A1E8D" w14:textId="77777777" w:rsidR="007158F2" w:rsidRPr="008C70AB" w:rsidRDefault="007158F2" w:rsidP="008E26E9">
            <w:pPr>
              <w:spacing w:after="160" w:line="278" w:lineRule="auto"/>
            </w:pPr>
            <w:r w:rsidRPr="008C70AB">
              <w:t>3.1</w:t>
            </w:r>
          </w:p>
        </w:tc>
        <w:tc>
          <w:tcPr>
            <w:tcW w:w="0" w:type="auto"/>
            <w:hideMark/>
          </w:tcPr>
          <w:p w14:paraId="0022CE55" w14:textId="77777777" w:rsidR="007158F2" w:rsidRPr="008C70AB" w:rsidRDefault="007158F2" w:rsidP="008E26E9">
            <w:pPr>
              <w:spacing w:after="160" w:line="278" w:lineRule="auto"/>
            </w:pPr>
            <w:r w:rsidRPr="008C70AB">
              <w:t xml:space="preserve">“A total of 40 sessions </w:t>
            </w:r>
            <w:proofErr w:type="gramStart"/>
            <w:r w:rsidRPr="008C70AB">
              <w:t>have</w:t>
            </w:r>
            <w:proofErr w:type="gramEnd"/>
            <w:r w:rsidRPr="008C70AB">
              <w:t xml:space="preserve"> been delivered, both online and face to face.” (Manchester Metropolitan University, 2025a, p. 6).</w:t>
            </w:r>
          </w:p>
        </w:tc>
      </w:tr>
      <w:tr w:rsidR="007158F2" w:rsidRPr="008C70AB" w14:paraId="63933BCA" w14:textId="77777777" w:rsidTr="008E26E9">
        <w:tc>
          <w:tcPr>
            <w:tcW w:w="0" w:type="auto"/>
            <w:hideMark/>
          </w:tcPr>
          <w:p w14:paraId="3B8CA9C6" w14:textId="77777777" w:rsidR="007158F2" w:rsidRPr="008C70AB" w:rsidRDefault="007158F2" w:rsidP="008E26E9">
            <w:pPr>
              <w:spacing w:after="160" w:line="278" w:lineRule="auto"/>
            </w:pPr>
            <w:r w:rsidRPr="008C70AB">
              <w:t>RQ1</w:t>
            </w:r>
          </w:p>
        </w:tc>
        <w:tc>
          <w:tcPr>
            <w:tcW w:w="0" w:type="auto"/>
            <w:hideMark/>
          </w:tcPr>
          <w:p w14:paraId="1E59DC9C" w14:textId="77777777" w:rsidR="007158F2" w:rsidRPr="008C70AB" w:rsidRDefault="007158F2" w:rsidP="008E26E9">
            <w:pPr>
              <w:spacing w:after="160" w:line="278" w:lineRule="auto"/>
            </w:pPr>
            <w:r w:rsidRPr="008C70AB">
              <w:t>Workforce training and compliance mechanisms</w:t>
            </w:r>
          </w:p>
        </w:tc>
        <w:tc>
          <w:tcPr>
            <w:tcW w:w="0" w:type="auto"/>
            <w:hideMark/>
          </w:tcPr>
          <w:p w14:paraId="787111AD" w14:textId="77777777" w:rsidR="007158F2" w:rsidRPr="008C70AB" w:rsidRDefault="007158F2" w:rsidP="008E26E9">
            <w:pPr>
              <w:spacing w:after="160" w:line="278" w:lineRule="auto"/>
            </w:pPr>
            <w:r w:rsidRPr="008C70AB">
              <w:t>Cultural competency training (launch)</w:t>
            </w:r>
          </w:p>
        </w:tc>
        <w:tc>
          <w:tcPr>
            <w:tcW w:w="0" w:type="auto"/>
            <w:hideMark/>
          </w:tcPr>
          <w:p w14:paraId="24C02537" w14:textId="77777777" w:rsidR="007158F2" w:rsidRPr="008C70AB" w:rsidRDefault="007158F2" w:rsidP="008E26E9">
            <w:pPr>
              <w:spacing w:after="160" w:line="278" w:lineRule="auto"/>
            </w:pPr>
            <w:r w:rsidRPr="008C70AB">
              <w:t>3.1</w:t>
            </w:r>
          </w:p>
        </w:tc>
        <w:tc>
          <w:tcPr>
            <w:tcW w:w="0" w:type="auto"/>
            <w:hideMark/>
          </w:tcPr>
          <w:p w14:paraId="7A60831F" w14:textId="77777777" w:rsidR="007158F2" w:rsidRPr="008C70AB" w:rsidRDefault="007158F2" w:rsidP="008E26E9">
            <w:pPr>
              <w:spacing w:after="160" w:line="278" w:lineRule="auto"/>
            </w:pPr>
            <w:r w:rsidRPr="008C70AB">
              <w:t>“This has included the launch of cultural competency training.” (Manchester Metropolitan University, 2025a, p. 5).</w:t>
            </w:r>
          </w:p>
        </w:tc>
      </w:tr>
      <w:tr w:rsidR="007158F2" w:rsidRPr="008C70AB" w14:paraId="0139644B" w14:textId="77777777" w:rsidTr="008E26E9">
        <w:tc>
          <w:tcPr>
            <w:tcW w:w="0" w:type="auto"/>
            <w:hideMark/>
          </w:tcPr>
          <w:p w14:paraId="22699438" w14:textId="77777777" w:rsidR="007158F2" w:rsidRPr="008C70AB" w:rsidRDefault="007158F2" w:rsidP="008E26E9">
            <w:pPr>
              <w:spacing w:after="160" w:line="278" w:lineRule="auto"/>
            </w:pPr>
            <w:r w:rsidRPr="008C70AB">
              <w:t>RQ1</w:t>
            </w:r>
          </w:p>
        </w:tc>
        <w:tc>
          <w:tcPr>
            <w:tcW w:w="0" w:type="auto"/>
            <w:hideMark/>
          </w:tcPr>
          <w:p w14:paraId="4767E808" w14:textId="77777777" w:rsidR="007158F2" w:rsidRPr="008C70AB" w:rsidRDefault="007158F2" w:rsidP="008E26E9">
            <w:pPr>
              <w:spacing w:after="160" w:line="278" w:lineRule="auto"/>
            </w:pPr>
            <w:r w:rsidRPr="008C70AB">
              <w:t>Inclusive employment practices</w:t>
            </w:r>
          </w:p>
        </w:tc>
        <w:tc>
          <w:tcPr>
            <w:tcW w:w="0" w:type="auto"/>
            <w:hideMark/>
          </w:tcPr>
          <w:p w14:paraId="783D63E1" w14:textId="77777777" w:rsidR="007158F2" w:rsidRPr="008C70AB" w:rsidRDefault="007158F2" w:rsidP="008E26E9">
            <w:pPr>
              <w:spacing w:after="160" w:line="278" w:lineRule="auto"/>
            </w:pPr>
            <w:r w:rsidRPr="008C70AB">
              <w:t>Inclusive recruitment toolkit + training refresh + positive action statements</w:t>
            </w:r>
          </w:p>
        </w:tc>
        <w:tc>
          <w:tcPr>
            <w:tcW w:w="0" w:type="auto"/>
            <w:hideMark/>
          </w:tcPr>
          <w:p w14:paraId="662D9AEF" w14:textId="77777777" w:rsidR="007158F2" w:rsidRPr="008C70AB" w:rsidRDefault="007158F2" w:rsidP="008E26E9">
            <w:pPr>
              <w:spacing w:after="160" w:line="278" w:lineRule="auto"/>
            </w:pPr>
            <w:r w:rsidRPr="008C70AB">
              <w:t>3.1</w:t>
            </w:r>
          </w:p>
        </w:tc>
        <w:tc>
          <w:tcPr>
            <w:tcW w:w="0" w:type="auto"/>
            <w:hideMark/>
          </w:tcPr>
          <w:p w14:paraId="7E9DA7C0" w14:textId="77777777" w:rsidR="007158F2" w:rsidRPr="008C70AB" w:rsidRDefault="007158F2" w:rsidP="008E26E9">
            <w:pPr>
              <w:spacing w:after="160" w:line="278" w:lineRule="auto"/>
            </w:pPr>
            <w:r w:rsidRPr="008C70AB">
              <w:t>“Inclusive recruitment toolkit… This was developed and launched in June 2023…” (Manchester Metropolitan University, 2025a, p. 9).</w:t>
            </w:r>
          </w:p>
        </w:tc>
      </w:tr>
      <w:tr w:rsidR="007158F2" w:rsidRPr="008C70AB" w14:paraId="44C1919D" w14:textId="77777777" w:rsidTr="008E26E9">
        <w:tc>
          <w:tcPr>
            <w:tcW w:w="0" w:type="auto"/>
            <w:hideMark/>
          </w:tcPr>
          <w:p w14:paraId="11C94852" w14:textId="77777777" w:rsidR="007158F2" w:rsidRPr="008C70AB" w:rsidRDefault="007158F2" w:rsidP="008E26E9">
            <w:pPr>
              <w:spacing w:after="160" w:line="278" w:lineRule="auto"/>
            </w:pPr>
            <w:r w:rsidRPr="008C70AB">
              <w:t>RQ1</w:t>
            </w:r>
          </w:p>
        </w:tc>
        <w:tc>
          <w:tcPr>
            <w:tcW w:w="0" w:type="auto"/>
            <w:hideMark/>
          </w:tcPr>
          <w:p w14:paraId="71E838AB" w14:textId="77777777" w:rsidR="007158F2" w:rsidRPr="008C70AB" w:rsidRDefault="007158F2" w:rsidP="008E26E9">
            <w:pPr>
              <w:spacing w:after="160" w:line="278" w:lineRule="auto"/>
            </w:pPr>
            <w:r w:rsidRPr="008C70AB">
              <w:t>Leadership and progression initiatives</w:t>
            </w:r>
          </w:p>
        </w:tc>
        <w:tc>
          <w:tcPr>
            <w:tcW w:w="0" w:type="auto"/>
            <w:hideMark/>
          </w:tcPr>
          <w:p w14:paraId="74D2FD61" w14:textId="77777777" w:rsidR="007158F2" w:rsidRPr="008C70AB" w:rsidRDefault="007158F2" w:rsidP="008E26E9">
            <w:pPr>
              <w:spacing w:after="160" w:line="278" w:lineRule="auto"/>
            </w:pPr>
            <w:r w:rsidRPr="008C70AB">
              <w:t>Leadership programmes evidenced in charter mark progress</w:t>
            </w:r>
          </w:p>
        </w:tc>
        <w:tc>
          <w:tcPr>
            <w:tcW w:w="0" w:type="auto"/>
            <w:hideMark/>
          </w:tcPr>
          <w:p w14:paraId="5D4F6135" w14:textId="77777777" w:rsidR="007158F2" w:rsidRPr="008C70AB" w:rsidRDefault="007158F2" w:rsidP="008E26E9">
            <w:pPr>
              <w:spacing w:after="160" w:line="278" w:lineRule="auto"/>
            </w:pPr>
            <w:r w:rsidRPr="008C70AB">
              <w:t>3.1</w:t>
            </w:r>
          </w:p>
        </w:tc>
        <w:tc>
          <w:tcPr>
            <w:tcW w:w="0" w:type="auto"/>
            <w:hideMark/>
          </w:tcPr>
          <w:p w14:paraId="4951088B" w14:textId="77777777" w:rsidR="007158F2" w:rsidRPr="008C70AB" w:rsidRDefault="007158F2" w:rsidP="008E26E9">
            <w:pPr>
              <w:spacing w:after="160" w:line="278" w:lineRule="auto"/>
            </w:pPr>
            <w:r w:rsidRPr="008C70AB">
              <w:t>“Successful outcomes for participants in Aurora and Stellar HE programmes.” (Manchester Metropolitan University, 2025a, p. 10).</w:t>
            </w:r>
          </w:p>
        </w:tc>
      </w:tr>
      <w:tr w:rsidR="007158F2" w:rsidRPr="008C70AB" w14:paraId="73B9B6CD" w14:textId="77777777" w:rsidTr="008E26E9">
        <w:tc>
          <w:tcPr>
            <w:tcW w:w="0" w:type="auto"/>
            <w:hideMark/>
          </w:tcPr>
          <w:p w14:paraId="50FC1B10" w14:textId="77777777" w:rsidR="007158F2" w:rsidRPr="008C70AB" w:rsidRDefault="007158F2" w:rsidP="008E26E9">
            <w:pPr>
              <w:spacing w:after="160" w:line="278" w:lineRule="auto"/>
            </w:pPr>
            <w:r w:rsidRPr="008C70AB">
              <w:t>RQ1</w:t>
            </w:r>
          </w:p>
        </w:tc>
        <w:tc>
          <w:tcPr>
            <w:tcW w:w="0" w:type="auto"/>
            <w:hideMark/>
          </w:tcPr>
          <w:p w14:paraId="72A70548" w14:textId="77777777" w:rsidR="007158F2" w:rsidRPr="008C70AB" w:rsidRDefault="007158F2" w:rsidP="008E26E9">
            <w:pPr>
              <w:spacing w:after="160" w:line="278" w:lineRule="auto"/>
            </w:pPr>
            <w:r w:rsidRPr="008C70AB">
              <w:t>Data infrastructure and monitoring mechanisms</w:t>
            </w:r>
          </w:p>
        </w:tc>
        <w:tc>
          <w:tcPr>
            <w:tcW w:w="0" w:type="auto"/>
            <w:hideMark/>
          </w:tcPr>
          <w:p w14:paraId="0C829E82" w14:textId="77777777" w:rsidR="007158F2" w:rsidRPr="008C70AB" w:rsidRDefault="007158F2" w:rsidP="008E26E9">
            <w:pPr>
              <w:spacing w:after="160" w:line="278" w:lineRule="auto"/>
            </w:pPr>
            <w:r w:rsidRPr="008C70AB">
              <w:t>People Equality Data Framework (PEDF)</w:t>
            </w:r>
          </w:p>
        </w:tc>
        <w:tc>
          <w:tcPr>
            <w:tcW w:w="0" w:type="auto"/>
            <w:hideMark/>
          </w:tcPr>
          <w:p w14:paraId="0A07A4BE" w14:textId="77777777" w:rsidR="007158F2" w:rsidRPr="008C70AB" w:rsidRDefault="007158F2" w:rsidP="008E26E9">
            <w:pPr>
              <w:spacing w:after="160" w:line="278" w:lineRule="auto"/>
            </w:pPr>
            <w:r w:rsidRPr="008C70AB">
              <w:t>3.1</w:t>
            </w:r>
          </w:p>
        </w:tc>
        <w:tc>
          <w:tcPr>
            <w:tcW w:w="0" w:type="auto"/>
            <w:hideMark/>
          </w:tcPr>
          <w:p w14:paraId="6247B363" w14:textId="77777777" w:rsidR="007158F2" w:rsidRPr="008C70AB" w:rsidRDefault="007158F2" w:rsidP="008E26E9">
            <w:pPr>
              <w:spacing w:after="160" w:line="278" w:lineRule="auto"/>
            </w:pPr>
            <w:r w:rsidRPr="008C70AB">
              <w:t xml:space="preserve">“The People Equality Data Framework is the first of its kind in the HE </w:t>
            </w:r>
            <w:proofErr w:type="gramStart"/>
            <w:r w:rsidRPr="008C70AB">
              <w:t>sector</w:t>
            </w:r>
            <w:proofErr w:type="gramEnd"/>
            <w:r w:rsidRPr="008C70AB">
              <w:t>.” (Manchester Metropolitan University, 2025a, p. 7).</w:t>
            </w:r>
          </w:p>
        </w:tc>
      </w:tr>
      <w:tr w:rsidR="007158F2" w:rsidRPr="008C70AB" w14:paraId="0BC4F11B" w14:textId="77777777" w:rsidTr="008E26E9">
        <w:tc>
          <w:tcPr>
            <w:tcW w:w="0" w:type="auto"/>
            <w:hideMark/>
          </w:tcPr>
          <w:p w14:paraId="36A6CE82" w14:textId="77777777" w:rsidR="007158F2" w:rsidRPr="008C70AB" w:rsidRDefault="007158F2" w:rsidP="008E26E9">
            <w:pPr>
              <w:spacing w:after="160" w:line="278" w:lineRule="auto"/>
            </w:pPr>
            <w:r w:rsidRPr="008C70AB">
              <w:t>RQ1</w:t>
            </w:r>
          </w:p>
        </w:tc>
        <w:tc>
          <w:tcPr>
            <w:tcW w:w="0" w:type="auto"/>
            <w:hideMark/>
          </w:tcPr>
          <w:p w14:paraId="384D2AC4" w14:textId="77777777" w:rsidR="007158F2" w:rsidRPr="008C70AB" w:rsidRDefault="007158F2" w:rsidP="008E26E9">
            <w:pPr>
              <w:spacing w:after="160" w:line="278" w:lineRule="auto"/>
            </w:pPr>
            <w:r w:rsidRPr="008C70AB">
              <w:t>Pay equity monitoring and statutory compliance</w:t>
            </w:r>
          </w:p>
        </w:tc>
        <w:tc>
          <w:tcPr>
            <w:tcW w:w="0" w:type="auto"/>
            <w:hideMark/>
          </w:tcPr>
          <w:p w14:paraId="036E7D5E" w14:textId="77777777" w:rsidR="007158F2" w:rsidRPr="008C70AB" w:rsidRDefault="007158F2" w:rsidP="008E26E9">
            <w:pPr>
              <w:spacing w:after="160" w:line="278" w:lineRule="auto"/>
            </w:pPr>
            <w:r w:rsidRPr="008C70AB">
              <w:t xml:space="preserve">Statutory gender </w:t>
            </w:r>
            <w:proofErr w:type="gramStart"/>
            <w:r w:rsidRPr="008C70AB">
              <w:t>pay</w:t>
            </w:r>
            <w:proofErr w:type="gramEnd"/>
            <w:r w:rsidRPr="008C70AB">
              <w:t xml:space="preserve"> gap reporting</w:t>
            </w:r>
          </w:p>
        </w:tc>
        <w:tc>
          <w:tcPr>
            <w:tcW w:w="0" w:type="auto"/>
            <w:hideMark/>
          </w:tcPr>
          <w:p w14:paraId="40CC42A9" w14:textId="77777777" w:rsidR="007158F2" w:rsidRPr="008C70AB" w:rsidRDefault="007158F2" w:rsidP="008E26E9">
            <w:pPr>
              <w:spacing w:after="160" w:line="278" w:lineRule="auto"/>
            </w:pPr>
            <w:r w:rsidRPr="008C70AB">
              <w:t>3.1</w:t>
            </w:r>
          </w:p>
        </w:tc>
        <w:tc>
          <w:tcPr>
            <w:tcW w:w="0" w:type="auto"/>
            <w:hideMark/>
          </w:tcPr>
          <w:p w14:paraId="77261A1E" w14:textId="77777777" w:rsidR="007158F2" w:rsidRPr="008C70AB" w:rsidRDefault="007158F2" w:rsidP="008E26E9">
            <w:pPr>
              <w:spacing w:after="160" w:line="278" w:lineRule="auto"/>
            </w:pPr>
            <w:r w:rsidRPr="008C70AB">
              <w:t>“Since 2017, employers are required to publish the results of their gender pay analysis.” (Manchester Metropolitan University, 2025c, p. 3).</w:t>
            </w:r>
          </w:p>
        </w:tc>
      </w:tr>
      <w:tr w:rsidR="007158F2" w:rsidRPr="008C70AB" w14:paraId="18DBF6B2" w14:textId="77777777" w:rsidTr="008E26E9">
        <w:tc>
          <w:tcPr>
            <w:tcW w:w="0" w:type="auto"/>
            <w:hideMark/>
          </w:tcPr>
          <w:p w14:paraId="1D624432" w14:textId="77777777" w:rsidR="007158F2" w:rsidRPr="008C70AB" w:rsidRDefault="007158F2" w:rsidP="008E26E9">
            <w:pPr>
              <w:spacing w:after="160" w:line="278" w:lineRule="auto"/>
            </w:pPr>
            <w:r w:rsidRPr="008C70AB">
              <w:lastRenderedPageBreak/>
              <w:t>RQ1</w:t>
            </w:r>
          </w:p>
        </w:tc>
        <w:tc>
          <w:tcPr>
            <w:tcW w:w="0" w:type="auto"/>
            <w:hideMark/>
          </w:tcPr>
          <w:p w14:paraId="5DDEEC28" w14:textId="77777777" w:rsidR="007158F2" w:rsidRPr="008C70AB" w:rsidRDefault="007158F2" w:rsidP="008E26E9">
            <w:pPr>
              <w:spacing w:after="160" w:line="278" w:lineRule="auto"/>
            </w:pPr>
            <w:r w:rsidRPr="008C70AB">
              <w:t>Pay equity monitoring and statutory compliance</w:t>
            </w:r>
          </w:p>
        </w:tc>
        <w:tc>
          <w:tcPr>
            <w:tcW w:w="0" w:type="auto"/>
            <w:hideMark/>
          </w:tcPr>
          <w:p w14:paraId="4C16AB00" w14:textId="77777777" w:rsidR="007158F2" w:rsidRPr="008C70AB" w:rsidRDefault="007158F2" w:rsidP="008E26E9">
            <w:pPr>
              <w:spacing w:after="160" w:line="278" w:lineRule="auto"/>
            </w:pPr>
            <w:r w:rsidRPr="008C70AB">
              <w:t xml:space="preserve">Voluntary </w:t>
            </w:r>
            <w:proofErr w:type="gramStart"/>
            <w:r w:rsidRPr="008C70AB">
              <w:t>ethnicity</w:t>
            </w:r>
            <w:proofErr w:type="gramEnd"/>
            <w:r w:rsidRPr="008C70AB">
              <w:t xml:space="preserve"> pay gap reporting</w:t>
            </w:r>
          </w:p>
        </w:tc>
        <w:tc>
          <w:tcPr>
            <w:tcW w:w="0" w:type="auto"/>
            <w:hideMark/>
          </w:tcPr>
          <w:p w14:paraId="1CAAEB21" w14:textId="77777777" w:rsidR="007158F2" w:rsidRPr="008C70AB" w:rsidRDefault="007158F2" w:rsidP="008E26E9">
            <w:pPr>
              <w:spacing w:after="160" w:line="278" w:lineRule="auto"/>
            </w:pPr>
            <w:r w:rsidRPr="008C70AB">
              <w:t>3.1</w:t>
            </w:r>
          </w:p>
        </w:tc>
        <w:tc>
          <w:tcPr>
            <w:tcW w:w="0" w:type="auto"/>
            <w:hideMark/>
          </w:tcPr>
          <w:p w14:paraId="640B1971" w14:textId="77777777" w:rsidR="007158F2" w:rsidRPr="008C70AB" w:rsidRDefault="007158F2" w:rsidP="008E26E9">
            <w:pPr>
              <w:spacing w:after="160" w:line="278" w:lineRule="auto"/>
            </w:pPr>
            <w:r w:rsidRPr="008C70AB">
              <w:t>“The University has no statutory obligation to report its ethnicity pay gap. We have chosen to include this information…” (Manchester Metropolitan University, 2025c, p. 7).</w:t>
            </w:r>
          </w:p>
        </w:tc>
      </w:tr>
      <w:tr w:rsidR="007158F2" w:rsidRPr="008C70AB" w14:paraId="58E32661" w14:textId="77777777" w:rsidTr="008E26E9">
        <w:tc>
          <w:tcPr>
            <w:tcW w:w="0" w:type="auto"/>
            <w:hideMark/>
          </w:tcPr>
          <w:p w14:paraId="4993BAB1" w14:textId="77777777" w:rsidR="007158F2" w:rsidRPr="008C70AB" w:rsidRDefault="007158F2" w:rsidP="008E26E9">
            <w:pPr>
              <w:spacing w:after="160" w:line="278" w:lineRule="auto"/>
            </w:pPr>
            <w:r w:rsidRPr="008C70AB">
              <w:t>RQ1</w:t>
            </w:r>
          </w:p>
        </w:tc>
        <w:tc>
          <w:tcPr>
            <w:tcW w:w="0" w:type="auto"/>
            <w:hideMark/>
          </w:tcPr>
          <w:p w14:paraId="436E02B3" w14:textId="77777777" w:rsidR="007158F2" w:rsidRPr="008C70AB" w:rsidRDefault="007158F2" w:rsidP="008E26E9">
            <w:pPr>
              <w:spacing w:after="160" w:line="278" w:lineRule="auto"/>
            </w:pPr>
            <w:r w:rsidRPr="008C70AB">
              <w:t>Pay equity monitoring and statutory compliance</w:t>
            </w:r>
          </w:p>
        </w:tc>
        <w:tc>
          <w:tcPr>
            <w:tcW w:w="0" w:type="auto"/>
            <w:hideMark/>
          </w:tcPr>
          <w:p w14:paraId="6E6A642B" w14:textId="77777777" w:rsidR="007158F2" w:rsidRPr="008C70AB" w:rsidRDefault="007158F2" w:rsidP="008E26E9">
            <w:pPr>
              <w:spacing w:after="160" w:line="278" w:lineRule="auto"/>
            </w:pPr>
            <w:r w:rsidRPr="008C70AB">
              <w:t xml:space="preserve">Voluntary disability </w:t>
            </w:r>
            <w:proofErr w:type="gramStart"/>
            <w:r w:rsidRPr="008C70AB">
              <w:t>pay</w:t>
            </w:r>
            <w:proofErr w:type="gramEnd"/>
            <w:r w:rsidRPr="008C70AB">
              <w:t xml:space="preserve"> gap reporting</w:t>
            </w:r>
          </w:p>
        </w:tc>
        <w:tc>
          <w:tcPr>
            <w:tcW w:w="0" w:type="auto"/>
            <w:hideMark/>
          </w:tcPr>
          <w:p w14:paraId="0291A8FB" w14:textId="77777777" w:rsidR="007158F2" w:rsidRPr="008C70AB" w:rsidRDefault="007158F2" w:rsidP="008E26E9">
            <w:pPr>
              <w:spacing w:after="160" w:line="278" w:lineRule="auto"/>
            </w:pPr>
            <w:r w:rsidRPr="008C70AB">
              <w:t>3.1</w:t>
            </w:r>
          </w:p>
        </w:tc>
        <w:tc>
          <w:tcPr>
            <w:tcW w:w="0" w:type="auto"/>
            <w:hideMark/>
          </w:tcPr>
          <w:p w14:paraId="290C5344" w14:textId="77777777" w:rsidR="007158F2" w:rsidRPr="008C70AB" w:rsidRDefault="007158F2" w:rsidP="008E26E9">
            <w:pPr>
              <w:spacing w:after="160" w:line="278" w:lineRule="auto"/>
            </w:pPr>
            <w:r w:rsidRPr="008C70AB">
              <w:t>“The University has no statutory obligation to report its disability pay gap. We have chosen to include this information…” (Manchester Metropolitan University, 2025c, p. 9).</w:t>
            </w:r>
          </w:p>
        </w:tc>
      </w:tr>
      <w:tr w:rsidR="007158F2" w:rsidRPr="008C70AB" w14:paraId="23093416" w14:textId="77777777" w:rsidTr="008E26E9">
        <w:tc>
          <w:tcPr>
            <w:tcW w:w="0" w:type="auto"/>
            <w:hideMark/>
          </w:tcPr>
          <w:p w14:paraId="1D443D71" w14:textId="77777777" w:rsidR="007158F2" w:rsidRPr="008C70AB" w:rsidRDefault="007158F2" w:rsidP="008E26E9">
            <w:pPr>
              <w:spacing w:after="160" w:line="278" w:lineRule="auto"/>
            </w:pPr>
            <w:r w:rsidRPr="008C70AB">
              <w:t>RQ1</w:t>
            </w:r>
          </w:p>
        </w:tc>
        <w:tc>
          <w:tcPr>
            <w:tcW w:w="0" w:type="auto"/>
            <w:hideMark/>
          </w:tcPr>
          <w:p w14:paraId="5DF5E899" w14:textId="77777777" w:rsidR="007158F2" w:rsidRPr="008C70AB" w:rsidRDefault="007158F2" w:rsidP="008E26E9">
            <w:pPr>
              <w:spacing w:after="160" w:line="278" w:lineRule="auto"/>
            </w:pPr>
            <w:r w:rsidRPr="008C70AB">
              <w:t>Monitoring and transparency mechanisms</w:t>
            </w:r>
          </w:p>
        </w:tc>
        <w:tc>
          <w:tcPr>
            <w:tcW w:w="0" w:type="auto"/>
            <w:hideMark/>
          </w:tcPr>
          <w:p w14:paraId="3DE91989" w14:textId="77777777" w:rsidR="007158F2" w:rsidRPr="008C70AB" w:rsidRDefault="007158F2" w:rsidP="008E26E9">
            <w:pPr>
              <w:spacing w:after="160" w:line="278" w:lineRule="auto"/>
            </w:pPr>
            <w:r w:rsidRPr="008C70AB">
              <w:t>Part B data informs Part A annual reporting</w:t>
            </w:r>
          </w:p>
        </w:tc>
        <w:tc>
          <w:tcPr>
            <w:tcW w:w="0" w:type="auto"/>
            <w:hideMark/>
          </w:tcPr>
          <w:p w14:paraId="32858273" w14:textId="77777777" w:rsidR="007158F2" w:rsidRPr="008C70AB" w:rsidRDefault="007158F2" w:rsidP="008E26E9">
            <w:pPr>
              <w:spacing w:after="160" w:line="278" w:lineRule="auto"/>
            </w:pPr>
            <w:r w:rsidRPr="008C70AB">
              <w:t>3.1</w:t>
            </w:r>
          </w:p>
        </w:tc>
        <w:tc>
          <w:tcPr>
            <w:tcW w:w="0" w:type="auto"/>
            <w:hideMark/>
          </w:tcPr>
          <w:p w14:paraId="46EA3BE9" w14:textId="77777777" w:rsidR="007158F2" w:rsidRPr="008C70AB" w:rsidRDefault="007158F2" w:rsidP="008E26E9">
            <w:pPr>
              <w:spacing w:after="160" w:line="278" w:lineRule="auto"/>
            </w:pPr>
            <w:r w:rsidRPr="008C70AB">
              <w:t>“This report presents key staff and student equality information at an institutional level. It informs Part A of our annual Equality, Diversity and Inclusion Report 2023–24.” (Manchester Metropolitan University, 2025b, p. 1).</w:t>
            </w:r>
          </w:p>
        </w:tc>
      </w:tr>
    </w:tbl>
    <w:p w14:paraId="331FECAF" w14:textId="77777777" w:rsidR="007158F2" w:rsidRDefault="007158F2" w:rsidP="007158F2">
      <w:pPr>
        <w:rPr>
          <w:b/>
          <w:bCs/>
          <w:sz w:val="24"/>
          <w:szCs w:val="24"/>
        </w:rPr>
      </w:pPr>
    </w:p>
    <w:p w14:paraId="42785251" w14:textId="77777777" w:rsidR="007158F2" w:rsidRDefault="007158F2" w:rsidP="007158F2">
      <w:pPr>
        <w:rPr>
          <w:b/>
          <w:bCs/>
          <w:sz w:val="24"/>
          <w:szCs w:val="24"/>
        </w:rPr>
      </w:pPr>
    </w:p>
    <w:p w14:paraId="41BC587A" w14:textId="77777777" w:rsidR="007158F2" w:rsidRDefault="007158F2" w:rsidP="007158F2">
      <w:pPr>
        <w:rPr>
          <w:b/>
          <w:bCs/>
          <w:sz w:val="24"/>
          <w:szCs w:val="24"/>
        </w:rPr>
      </w:pPr>
    </w:p>
    <w:p w14:paraId="64983BF7" w14:textId="77777777" w:rsidR="007158F2" w:rsidRDefault="007158F2" w:rsidP="007158F2">
      <w:pPr>
        <w:rPr>
          <w:b/>
          <w:bCs/>
          <w:sz w:val="24"/>
          <w:szCs w:val="24"/>
        </w:rPr>
      </w:pPr>
    </w:p>
    <w:p w14:paraId="47B8C7FC" w14:textId="77777777" w:rsidR="007158F2" w:rsidRDefault="007158F2" w:rsidP="007158F2">
      <w:pPr>
        <w:rPr>
          <w:b/>
          <w:bCs/>
          <w:sz w:val="24"/>
          <w:szCs w:val="24"/>
        </w:rPr>
      </w:pPr>
    </w:p>
    <w:p w14:paraId="361C14FF" w14:textId="77777777" w:rsidR="007158F2" w:rsidRDefault="007158F2" w:rsidP="007158F2">
      <w:pPr>
        <w:rPr>
          <w:b/>
          <w:bCs/>
          <w:sz w:val="24"/>
          <w:szCs w:val="24"/>
        </w:rPr>
      </w:pPr>
    </w:p>
    <w:p w14:paraId="330CA74E" w14:textId="77777777" w:rsidR="007158F2" w:rsidRDefault="007158F2" w:rsidP="007158F2">
      <w:pPr>
        <w:rPr>
          <w:b/>
          <w:bCs/>
          <w:sz w:val="24"/>
          <w:szCs w:val="24"/>
        </w:rPr>
      </w:pPr>
    </w:p>
    <w:p w14:paraId="1B216321" w14:textId="77777777" w:rsidR="007158F2" w:rsidRDefault="007158F2" w:rsidP="007158F2">
      <w:pPr>
        <w:rPr>
          <w:b/>
          <w:bCs/>
          <w:sz w:val="24"/>
          <w:szCs w:val="24"/>
        </w:rPr>
      </w:pPr>
    </w:p>
    <w:p w14:paraId="5F7B9117" w14:textId="77777777" w:rsidR="007158F2" w:rsidRDefault="007158F2" w:rsidP="007158F2">
      <w:pPr>
        <w:rPr>
          <w:b/>
          <w:bCs/>
          <w:sz w:val="24"/>
          <w:szCs w:val="24"/>
        </w:rPr>
      </w:pPr>
    </w:p>
    <w:p w14:paraId="5A373ED5" w14:textId="77777777" w:rsidR="007158F2" w:rsidRDefault="007158F2" w:rsidP="007158F2">
      <w:pPr>
        <w:rPr>
          <w:b/>
          <w:bCs/>
          <w:sz w:val="24"/>
          <w:szCs w:val="24"/>
        </w:rPr>
      </w:pPr>
    </w:p>
    <w:p w14:paraId="6AC7D45B" w14:textId="1CFABD27" w:rsidR="007158F2" w:rsidRPr="00985C38" w:rsidRDefault="007158F2" w:rsidP="007158F2">
      <w:pPr>
        <w:rPr>
          <w:b/>
          <w:bCs/>
          <w:sz w:val="24"/>
          <w:szCs w:val="24"/>
        </w:rPr>
      </w:pPr>
      <w:r w:rsidRPr="00985C38">
        <w:rPr>
          <w:b/>
          <w:bCs/>
          <w:sz w:val="24"/>
          <w:szCs w:val="24"/>
        </w:rPr>
        <w:lastRenderedPageBreak/>
        <w:t>APPENDIX 2</w:t>
      </w:r>
    </w:p>
    <w:p w14:paraId="0F2A9EA6" w14:textId="77777777" w:rsidR="007158F2" w:rsidRPr="00985C38" w:rsidRDefault="007158F2" w:rsidP="007158F2">
      <w:pPr>
        <w:rPr>
          <w:b/>
          <w:bCs/>
          <w:sz w:val="24"/>
          <w:szCs w:val="24"/>
        </w:rPr>
      </w:pPr>
      <w:r w:rsidRPr="00985C38">
        <w:rPr>
          <w:b/>
          <w:bCs/>
          <w:sz w:val="24"/>
          <w:szCs w:val="24"/>
        </w:rPr>
        <w:t>Table A2.1: Comparative Gender Pay Gap and Progression Metrics Across Manchester Universities (2020–2025)</w:t>
      </w:r>
    </w:p>
    <w:tbl>
      <w:tblPr>
        <w:tblStyle w:val="TableGrid"/>
        <w:tblpPr w:leftFromText="180" w:rightFromText="180" w:vertAnchor="text" w:horzAnchor="margin" w:tblpY="215"/>
        <w:tblW w:w="0" w:type="auto"/>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325"/>
        <w:gridCol w:w="1254"/>
        <w:gridCol w:w="1176"/>
        <w:gridCol w:w="1253"/>
        <w:gridCol w:w="1163"/>
        <w:gridCol w:w="1426"/>
        <w:gridCol w:w="1419"/>
      </w:tblGrid>
      <w:tr w:rsidR="007158F2" w14:paraId="50517E44" w14:textId="77777777" w:rsidTr="008E26E9">
        <w:trPr>
          <w:trHeight w:val="100"/>
        </w:trPr>
        <w:tc>
          <w:tcPr>
            <w:tcW w:w="10451" w:type="dxa"/>
            <w:gridSpan w:val="7"/>
            <w:tcBorders>
              <w:left w:val="single" w:sz="4" w:space="0" w:color="auto"/>
              <w:right w:val="single" w:sz="4" w:space="0" w:color="auto"/>
            </w:tcBorders>
            <w:shd w:val="clear" w:color="auto" w:fill="00B0F0"/>
          </w:tcPr>
          <w:p w14:paraId="7114F5E2" w14:textId="77777777" w:rsidR="007158F2" w:rsidRPr="00DB79C2" w:rsidRDefault="007158F2" w:rsidP="008E26E9">
            <w:pPr>
              <w:spacing w:after="160" w:line="278" w:lineRule="auto"/>
              <w:rPr>
                <w:b/>
                <w:bCs/>
                <w:sz w:val="28"/>
                <w:szCs w:val="28"/>
              </w:rPr>
            </w:pPr>
            <w:r w:rsidRPr="00DB79C2">
              <w:rPr>
                <w:b/>
                <w:bCs/>
                <w:sz w:val="28"/>
                <w:szCs w:val="28"/>
              </w:rPr>
              <w:t>University of Salford</w:t>
            </w:r>
          </w:p>
          <w:p w14:paraId="4C29C60D" w14:textId="77777777" w:rsidR="007158F2" w:rsidRDefault="007158F2" w:rsidP="008E26E9">
            <w:pPr>
              <w:rPr>
                <w:b/>
                <w:bCs/>
                <w:sz w:val="28"/>
                <w:szCs w:val="28"/>
              </w:rPr>
            </w:pPr>
            <w:r w:rsidRPr="00DB79C2">
              <w:rPr>
                <w:b/>
                <w:bCs/>
                <w:sz w:val="28"/>
                <w:szCs w:val="28"/>
              </w:rPr>
              <w:t>5-Year Gender Pay Gap Comparison Table</w:t>
            </w:r>
          </w:p>
          <w:p w14:paraId="799FD0BD" w14:textId="77777777" w:rsidR="007158F2" w:rsidRDefault="007158F2" w:rsidP="008E26E9">
            <w:pPr>
              <w:rPr>
                <w:b/>
                <w:bCs/>
                <w:sz w:val="28"/>
                <w:szCs w:val="28"/>
              </w:rPr>
            </w:pPr>
          </w:p>
          <w:p w14:paraId="0317D1B5" w14:textId="77777777" w:rsidR="007158F2" w:rsidRDefault="007158F2" w:rsidP="008E26E9">
            <w:pPr>
              <w:rPr>
                <w:b/>
                <w:bCs/>
                <w:sz w:val="28"/>
                <w:szCs w:val="28"/>
              </w:rPr>
            </w:pPr>
          </w:p>
          <w:p w14:paraId="43D4C7B9" w14:textId="77777777" w:rsidR="007158F2" w:rsidRDefault="007158F2" w:rsidP="008E26E9">
            <w:pPr>
              <w:rPr>
                <w:b/>
                <w:bCs/>
                <w:sz w:val="28"/>
                <w:szCs w:val="28"/>
              </w:rPr>
            </w:pPr>
          </w:p>
          <w:p w14:paraId="54FEDC2D" w14:textId="77777777" w:rsidR="007158F2" w:rsidRPr="00DB79C2" w:rsidRDefault="007158F2" w:rsidP="008E26E9"/>
        </w:tc>
      </w:tr>
      <w:tr w:rsidR="007158F2" w:rsidRPr="00DB79C2" w14:paraId="78DC7C95"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shd w:val="clear" w:color="auto" w:fill="4C94D8" w:themeFill="text2" w:themeFillTint="80"/>
            <w:hideMark/>
          </w:tcPr>
          <w:p w14:paraId="6165E153" w14:textId="77777777" w:rsidR="007158F2" w:rsidRPr="00DB79C2" w:rsidRDefault="007158F2" w:rsidP="008E26E9">
            <w:pPr>
              <w:spacing w:after="160" w:line="278" w:lineRule="auto"/>
              <w:rPr>
                <w:b/>
                <w:bCs/>
              </w:rPr>
            </w:pPr>
            <w:r w:rsidRPr="00DB79C2">
              <w:rPr>
                <w:b/>
                <w:bCs/>
              </w:rPr>
              <w:t>Reporting Year</w:t>
            </w:r>
          </w:p>
        </w:tc>
        <w:tc>
          <w:tcPr>
            <w:tcW w:w="0" w:type="auto"/>
            <w:shd w:val="clear" w:color="auto" w:fill="4C94D8" w:themeFill="text2" w:themeFillTint="80"/>
            <w:hideMark/>
          </w:tcPr>
          <w:p w14:paraId="1C821934" w14:textId="77777777" w:rsidR="007158F2" w:rsidRPr="00DB79C2" w:rsidRDefault="007158F2" w:rsidP="008E26E9">
            <w:pPr>
              <w:spacing w:after="160" w:line="278" w:lineRule="auto"/>
              <w:rPr>
                <w:b/>
                <w:bCs/>
              </w:rPr>
            </w:pPr>
            <w:r w:rsidRPr="00DB79C2">
              <w:rPr>
                <w:b/>
                <w:bCs/>
              </w:rPr>
              <w:t>Median Hourly Pay Gap (%)</w:t>
            </w:r>
          </w:p>
        </w:tc>
        <w:tc>
          <w:tcPr>
            <w:tcW w:w="0" w:type="auto"/>
            <w:shd w:val="clear" w:color="auto" w:fill="4C94D8" w:themeFill="text2" w:themeFillTint="80"/>
            <w:hideMark/>
          </w:tcPr>
          <w:p w14:paraId="460D9085" w14:textId="77777777" w:rsidR="007158F2" w:rsidRPr="00DB79C2" w:rsidRDefault="007158F2" w:rsidP="008E26E9">
            <w:pPr>
              <w:spacing w:after="160" w:line="278" w:lineRule="auto"/>
              <w:rPr>
                <w:b/>
                <w:bCs/>
              </w:rPr>
            </w:pPr>
            <w:r w:rsidRPr="00DB79C2">
              <w:rPr>
                <w:b/>
                <w:bCs/>
              </w:rPr>
              <w:t>Mean Hourly Pay Gap (%)</w:t>
            </w:r>
          </w:p>
        </w:tc>
        <w:tc>
          <w:tcPr>
            <w:tcW w:w="0" w:type="auto"/>
            <w:shd w:val="clear" w:color="auto" w:fill="4C94D8" w:themeFill="text2" w:themeFillTint="80"/>
            <w:hideMark/>
          </w:tcPr>
          <w:p w14:paraId="116E13BD" w14:textId="77777777" w:rsidR="007158F2" w:rsidRPr="00DB79C2" w:rsidRDefault="007158F2" w:rsidP="008E26E9">
            <w:pPr>
              <w:spacing w:after="160" w:line="278" w:lineRule="auto"/>
              <w:rPr>
                <w:b/>
                <w:bCs/>
              </w:rPr>
            </w:pPr>
            <w:r w:rsidRPr="00DB79C2">
              <w:rPr>
                <w:b/>
                <w:bCs/>
              </w:rPr>
              <w:t>Median Bonus Pay Gap (%)</w:t>
            </w:r>
          </w:p>
        </w:tc>
        <w:tc>
          <w:tcPr>
            <w:tcW w:w="0" w:type="auto"/>
            <w:shd w:val="clear" w:color="auto" w:fill="4C94D8" w:themeFill="text2" w:themeFillTint="80"/>
            <w:hideMark/>
          </w:tcPr>
          <w:p w14:paraId="46F7EFD5" w14:textId="77777777" w:rsidR="007158F2" w:rsidRPr="00DB79C2" w:rsidRDefault="007158F2" w:rsidP="008E26E9">
            <w:pPr>
              <w:spacing w:after="160" w:line="278" w:lineRule="auto"/>
              <w:rPr>
                <w:b/>
                <w:bCs/>
              </w:rPr>
            </w:pPr>
            <w:r w:rsidRPr="00DB79C2">
              <w:rPr>
                <w:b/>
                <w:bCs/>
              </w:rPr>
              <w:t>Mean Bonus Pay Gap (%)</w:t>
            </w:r>
          </w:p>
        </w:tc>
        <w:tc>
          <w:tcPr>
            <w:tcW w:w="0" w:type="auto"/>
            <w:shd w:val="clear" w:color="auto" w:fill="4C94D8" w:themeFill="text2" w:themeFillTint="80"/>
            <w:hideMark/>
          </w:tcPr>
          <w:p w14:paraId="30B8A4BB" w14:textId="77777777" w:rsidR="007158F2" w:rsidRPr="00DB79C2" w:rsidRDefault="007158F2" w:rsidP="008E26E9">
            <w:pPr>
              <w:spacing w:after="160" w:line="278" w:lineRule="auto"/>
              <w:rPr>
                <w:b/>
                <w:bCs/>
              </w:rPr>
            </w:pPr>
            <w:r w:rsidRPr="00DB79C2">
              <w:rPr>
                <w:b/>
                <w:bCs/>
              </w:rPr>
              <w:t>Women in Highest Pay Quartile (%)</w:t>
            </w:r>
          </w:p>
        </w:tc>
        <w:tc>
          <w:tcPr>
            <w:tcW w:w="0" w:type="auto"/>
            <w:shd w:val="clear" w:color="auto" w:fill="4C94D8" w:themeFill="text2" w:themeFillTint="80"/>
            <w:hideMark/>
          </w:tcPr>
          <w:p w14:paraId="3694786B" w14:textId="77777777" w:rsidR="007158F2" w:rsidRPr="00DB79C2" w:rsidRDefault="007158F2" w:rsidP="008E26E9">
            <w:pPr>
              <w:spacing w:after="160" w:line="278" w:lineRule="auto"/>
              <w:rPr>
                <w:b/>
                <w:bCs/>
              </w:rPr>
            </w:pPr>
            <w:r w:rsidRPr="00DB79C2">
              <w:rPr>
                <w:b/>
                <w:bCs/>
              </w:rPr>
              <w:t>Women in Lowest Pay Quartile (%)</w:t>
            </w:r>
          </w:p>
        </w:tc>
      </w:tr>
      <w:tr w:rsidR="007158F2" w:rsidRPr="00DB79C2" w14:paraId="0AF70244"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shd w:val="clear" w:color="auto" w:fill="A5C9EB" w:themeFill="text2" w:themeFillTint="40"/>
            <w:hideMark/>
          </w:tcPr>
          <w:p w14:paraId="3DA4468E" w14:textId="77777777" w:rsidR="007158F2" w:rsidRPr="00DB79C2" w:rsidRDefault="007158F2" w:rsidP="008E26E9">
            <w:pPr>
              <w:spacing w:after="160" w:line="278" w:lineRule="auto"/>
            </w:pPr>
            <w:r w:rsidRPr="00DB79C2">
              <w:t>2020–21</w:t>
            </w:r>
          </w:p>
        </w:tc>
        <w:tc>
          <w:tcPr>
            <w:tcW w:w="0" w:type="auto"/>
            <w:shd w:val="clear" w:color="auto" w:fill="A5C9EB" w:themeFill="text2" w:themeFillTint="40"/>
            <w:hideMark/>
          </w:tcPr>
          <w:p w14:paraId="62339B1D" w14:textId="77777777" w:rsidR="007158F2" w:rsidRPr="00DB79C2" w:rsidRDefault="007158F2" w:rsidP="008E26E9">
            <w:pPr>
              <w:spacing w:after="160" w:line="278" w:lineRule="auto"/>
            </w:pPr>
            <w:r w:rsidRPr="00DB79C2">
              <w:t>11.1%</w:t>
            </w:r>
          </w:p>
        </w:tc>
        <w:tc>
          <w:tcPr>
            <w:tcW w:w="0" w:type="auto"/>
            <w:shd w:val="clear" w:color="auto" w:fill="A5C9EB" w:themeFill="text2" w:themeFillTint="40"/>
            <w:hideMark/>
          </w:tcPr>
          <w:p w14:paraId="70D28618" w14:textId="77777777" w:rsidR="007158F2" w:rsidRPr="00DB79C2" w:rsidRDefault="007158F2" w:rsidP="008E26E9">
            <w:pPr>
              <w:spacing w:after="160" w:line="278" w:lineRule="auto"/>
            </w:pPr>
            <w:r w:rsidRPr="00DB79C2">
              <w:t>9.1%</w:t>
            </w:r>
          </w:p>
        </w:tc>
        <w:tc>
          <w:tcPr>
            <w:tcW w:w="0" w:type="auto"/>
            <w:shd w:val="clear" w:color="auto" w:fill="A5C9EB" w:themeFill="text2" w:themeFillTint="40"/>
            <w:hideMark/>
          </w:tcPr>
          <w:p w14:paraId="576F2966" w14:textId="77777777" w:rsidR="007158F2" w:rsidRPr="00DB79C2" w:rsidRDefault="007158F2" w:rsidP="008E26E9">
            <w:pPr>
              <w:spacing w:after="160" w:line="278" w:lineRule="auto"/>
            </w:pPr>
            <w:r w:rsidRPr="00DB79C2">
              <w:t>38.2%</w:t>
            </w:r>
          </w:p>
        </w:tc>
        <w:tc>
          <w:tcPr>
            <w:tcW w:w="0" w:type="auto"/>
            <w:shd w:val="clear" w:color="auto" w:fill="A5C9EB" w:themeFill="text2" w:themeFillTint="40"/>
            <w:hideMark/>
          </w:tcPr>
          <w:p w14:paraId="5E94106F" w14:textId="77777777" w:rsidR="007158F2" w:rsidRPr="00DB79C2" w:rsidRDefault="007158F2" w:rsidP="008E26E9">
            <w:pPr>
              <w:spacing w:after="160" w:line="278" w:lineRule="auto"/>
            </w:pPr>
            <w:r w:rsidRPr="00DB79C2">
              <w:t>25.2%</w:t>
            </w:r>
          </w:p>
        </w:tc>
        <w:tc>
          <w:tcPr>
            <w:tcW w:w="0" w:type="auto"/>
            <w:shd w:val="clear" w:color="auto" w:fill="A5C9EB" w:themeFill="text2" w:themeFillTint="40"/>
            <w:hideMark/>
          </w:tcPr>
          <w:p w14:paraId="71475F1E" w14:textId="77777777" w:rsidR="007158F2" w:rsidRPr="00DB79C2" w:rsidRDefault="007158F2" w:rsidP="008E26E9">
            <w:pPr>
              <w:spacing w:after="160" w:line="278" w:lineRule="auto"/>
            </w:pPr>
            <w:r w:rsidRPr="00DB79C2">
              <w:t>45.0%</w:t>
            </w:r>
          </w:p>
        </w:tc>
        <w:tc>
          <w:tcPr>
            <w:tcW w:w="0" w:type="auto"/>
            <w:shd w:val="clear" w:color="auto" w:fill="A5C9EB" w:themeFill="text2" w:themeFillTint="40"/>
            <w:hideMark/>
          </w:tcPr>
          <w:p w14:paraId="5A18F835" w14:textId="77777777" w:rsidR="007158F2" w:rsidRPr="00DB79C2" w:rsidRDefault="007158F2" w:rsidP="008E26E9">
            <w:pPr>
              <w:spacing w:after="160" w:line="278" w:lineRule="auto"/>
            </w:pPr>
            <w:r w:rsidRPr="00DB79C2">
              <w:t>62.0%</w:t>
            </w:r>
          </w:p>
        </w:tc>
      </w:tr>
      <w:tr w:rsidR="007158F2" w:rsidRPr="00DB79C2" w14:paraId="153C225D"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shd w:val="clear" w:color="auto" w:fill="A5C9EB" w:themeFill="text2" w:themeFillTint="40"/>
            <w:hideMark/>
          </w:tcPr>
          <w:p w14:paraId="411EAB97" w14:textId="77777777" w:rsidR="007158F2" w:rsidRPr="00DB79C2" w:rsidRDefault="007158F2" w:rsidP="008E26E9">
            <w:pPr>
              <w:spacing w:after="160" w:line="278" w:lineRule="auto"/>
            </w:pPr>
            <w:r w:rsidRPr="00DB79C2">
              <w:t>2021–22</w:t>
            </w:r>
          </w:p>
        </w:tc>
        <w:tc>
          <w:tcPr>
            <w:tcW w:w="0" w:type="auto"/>
            <w:shd w:val="clear" w:color="auto" w:fill="A5C9EB" w:themeFill="text2" w:themeFillTint="40"/>
            <w:hideMark/>
          </w:tcPr>
          <w:p w14:paraId="50A9A53C" w14:textId="77777777" w:rsidR="007158F2" w:rsidRPr="00DB79C2" w:rsidRDefault="007158F2" w:rsidP="008E26E9">
            <w:pPr>
              <w:spacing w:after="160" w:line="278" w:lineRule="auto"/>
            </w:pPr>
            <w:r w:rsidRPr="00DB79C2">
              <w:t>11.1%</w:t>
            </w:r>
          </w:p>
        </w:tc>
        <w:tc>
          <w:tcPr>
            <w:tcW w:w="0" w:type="auto"/>
            <w:shd w:val="clear" w:color="auto" w:fill="A5C9EB" w:themeFill="text2" w:themeFillTint="40"/>
            <w:hideMark/>
          </w:tcPr>
          <w:p w14:paraId="1734BF6C" w14:textId="77777777" w:rsidR="007158F2" w:rsidRPr="00DB79C2" w:rsidRDefault="007158F2" w:rsidP="008E26E9">
            <w:pPr>
              <w:spacing w:after="160" w:line="278" w:lineRule="auto"/>
            </w:pPr>
            <w:r w:rsidRPr="00DB79C2">
              <w:t>9.4%</w:t>
            </w:r>
          </w:p>
        </w:tc>
        <w:tc>
          <w:tcPr>
            <w:tcW w:w="0" w:type="auto"/>
            <w:shd w:val="clear" w:color="auto" w:fill="A5C9EB" w:themeFill="text2" w:themeFillTint="40"/>
            <w:hideMark/>
          </w:tcPr>
          <w:p w14:paraId="5DA056CB" w14:textId="77777777" w:rsidR="007158F2" w:rsidRPr="00DB79C2" w:rsidRDefault="007158F2" w:rsidP="008E26E9">
            <w:pPr>
              <w:spacing w:after="160" w:line="278" w:lineRule="auto"/>
            </w:pPr>
            <w:r w:rsidRPr="00DB79C2">
              <w:t>81.0%</w:t>
            </w:r>
          </w:p>
        </w:tc>
        <w:tc>
          <w:tcPr>
            <w:tcW w:w="0" w:type="auto"/>
            <w:shd w:val="clear" w:color="auto" w:fill="A5C9EB" w:themeFill="text2" w:themeFillTint="40"/>
            <w:hideMark/>
          </w:tcPr>
          <w:p w14:paraId="6B2E8B4D" w14:textId="77777777" w:rsidR="007158F2" w:rsidRPr="00DB79C2" w:rsidRDefault="007158F2" w:rsidP="008E26E9">
            <w:pPr>
              <w:spacing w:after="160" w:line="278" w:lineRule="auto"/>
            </w:pPr>
            <w:r w:rsidRPr="00DB79C2">
              <w:t>81.0%</w:t>
            </w:r>
          </w:p>
        </w:tc>
        <w:tc>
          <w:tcPr>
            <w:tcW w:w="0" w:type="auto"/>
            <w:shd w:val="clear" w:color="auto" w:fill="A5C9EB" w:themeFill="text2" w:themeFillTint="40"/>
            <w:hideMark/>
          </w:tcPr>
          <w:p w14:paraId="73A2F5D7" w14:textId="77777777" w:rsidR="007158F2" w:rsidRPr="00DB79C2" w:rsidRDefault="007158F2" w:rsidP="008E26E9">
            <w:pPr>
              <w:spacing w:after="160" w:line="278" w:lineRule="auto"/>
            </w:pPr>
            <w:r w:rsidRPr="00DB79C2">
              <w:t>46.0%</w:t>
            </w:r>
          </w:p>
        </w:tc>
        <w:tc>
          <w:tcPr>
            <w:tcW w:w="0" w:type="auto"/>
            <w:shd w:val="clear" w:color="auto" w:fill="A5C9EB" w:themeFill="text2" w:themeFillTint="40"/>
            <w:hideMark/>
          </w:tcPr>
          <w:p w14:paraId="4DBE3676" w14:textId="77777777" w:rsidR="007158F2" w:rsidRPr="00DB79C2" w:rsidRDefault="007158F2" w:rsidP="008E26E9">
            <w:pPr>
              <w:spacing w:after="160" w:line="278" w:lineRule="auto"/>
            </w:pPr>
            <w:r w:rsidRPr="00DB79C2">
              <w:t>65.0%</w:t>
            </w:r>
          </w:p>
        </w:tc>
      </w:tr>
      <w:tr w:rsidR="007158F2" w:rsidRPr="00DB79C2" w14:paraId="6468C3FB"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shd w:val="clear" w:color="auto" w:fill="A5C9EB" w:themeFill="text2" w:themeFillTint="40"/>
            <w:hideMark/>
          </w:tcPr>
          <w:p w14:paraId="3EFF06ED" w14:textId="77777777" w:rsidR="007158F2" w:rsidRPr="00DB79C2" w:rsidRDefault="007158F2" w:rsidP="008E26E9">
            <w:pPr>
              <w:spacing w:after="160" w:line="278" w:lineRule="auto"/>
            </w:pPr>
            <w:r w:rsidRPr="00DB79C2">
              <w:t>2022–23</w:t>
            </w:r>
          </w:p>
        </w:tc>
        <w:tc>
          <w:tcPr>
            <w:tcW w:w="0" w:type="auto"/>
            <w:shd w:val="clear" w:color="auto" w:fill="A5C9EB" w:themeFill="text2" w:themeFillTint="40"/>
            <w:hideMark/>
          </w:tcPr>
          <w:p w14:paraId="58B99454" w14:textId="77777777" w:rsidR="007158F2" w:rsidRPr="00DB79C2" w:rsidRDefault="007158F2" w:rsidP="008E26E9">
            <w:pPr>
              <w:spacing w:after="160" w:line="278" w:lineRule="auto"/>
            </w:pPr>
            <w:r w:rsidRPr="00DB79C2">
              <w:t>8.5%</w:t>
            </w:r>
          </w:p>
        </w:tc>
        <w:tc>
          <w:tcPr>
            <w:tcW w:w="0" w:type="auto"/>
            <w:shd w:val="clear" w:color="auto" w:fill="A5C9EB" w:themeFill="text2" w:themeFillTint="40"/>
            <w:hideMark/>
          </w:tcPr>
          <w:p w14:paraId="627C3960" w14:textId="77777777" w:rsidR="007158F2" w:rsidRPr="00DB79C2" w:rsidRDefault="007158F2" w:rsidP="008E26E9">
            <w:pPr>
              <w:spacing w:after="160" w:line="278" w:lineRule="auto"/>
            </w:pPr>
            <w:r w:rsidRPr="00DB79C2">
              <w:t>8.4%</w:t>
            </w:r>
          </w:p>
        </w:tc>
        <w:tc>
          <w:tcPr>
            <w:tcW w:w="0" w:type="auto"/>
            <w:shd w:val="clear" w:color="auto" w:fill="A5C9EB" w:themeFill="text2" w:themeFillTint="40"/>
            <w:hideMark/>
          </w:tcPr>
          <w:p w14:paraId="52B1F011" w14:textId="77777777" w:rsidR="007158F2" w:rsidRPr="00DB79C2" w:rsidRDefault="007158F2" w:rsidP="008E26E9">
            <w:pPr>
              <w:spacing w:after="160" w:line="278" w:lineRule="auto"/>
            </w:pPr>
            <w:r w:rsidRPr="00DB79C2">
              <w:t>8.3%</w:t>
            </w:r>
          </w:p>
        </w:tc>
        <w:tc>
          <w:tcPr>
            <w:tcW w:w="0" w:type="auto"/>
            <w:shd w:val="clear" w:color="auto" w:fill="A5C9EB" w:themeFill="text2" w:themeFillTint="40"/>
            <w:hideMark/>
          </w:tcPr>
          <w:p w14:paraId="0F538E00" w14:textId="77777777" w:rsidR="007158F2" w:rsidRPr="00DB79C2" w:rsidRDefault="007158F2" w:rsidP="008E26E9">
            <w:pPr>
              <w:spacing w:after="160" w:line="278" w:lineRule="auto"/>
            </w:pPr>
            <w:r w:rsidRPr="00DB79C2">
              <w:t>–19.2%</w:t>
            </w:r>
          </w:p>
        </w:tc>
        <w:tc>
          <w:tcPr>
            <w:tcW w:w="0" w:type="auto"/>
            <w:shd w:val="clear" w:color="auto" w:fill="A5C9EB" w:themeFill="text2" w:themeFillTint="40"/>
            <w:hideMark/>
          </w:tcPr>
          <w:p w14:paraId="137B56F7" w14:textId="77777777" w:rsidR="007158F2" w:rsidRPr="00DB79C2" w:rsidRDefault="007158F2" w:rsidP="008E26E9">
            <w:pPr>
              <w:spacing w:after="160" w:line="278" w:lineRule="auto"/>
            </w:pPr>
            <w:r w:rsidRPr="00DB79C2">
              <w:t>47.0%</w:t>
            </w:r>
          </w:p>
        </w:tc>
        <w:tc>
          <w:tcPr>
            <w:tcW w:w="0" w:type="auto"/>
            <w:shd w:val="clear" w:color="auto" w:fill="A5C9EB" w:themeFill="text2" w:themeFillTint="40"/>
            <w:hideMark/>
          </w:tcPr>
          <w:p w14:paraId="7DC407B6" w14:textId="77777777" w:rsidR="007158F2" w:rsidRPr="00DB79C2" w:rsidRDefault="007158F2" w:rsidP="008E26E9">
            <w:pPr>
              <w:spacing w:after="160" w:line="278" w:lineRule="auto"/>
            </w:pPr>
            <w:r w:rsidRPr="00DB79C2">
              <w:t>64.0%</w:t>
            </w:r>
          </w:p>
        </w:tc>
      </w:tr>
      <w:tr w:rsidR="007158F2" w:rsidRPr="00DB79C2" w14:paraId="128D7DFB"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shd w:val="clear" w:color="auto" w:fill="A5C9EB" w:themeFill="text2" w:themeFillTint="40"/>
            <w:hideMark/>
          </w:tcPr>
          <w:p w14:paraId="22335F8F" w14:textId="77777777" w:rsidR="007158F2" w:rsidRPr="00DB79C2" w:rsidRDefault="007158F2" w:rsidP="008E26E9">
            <w:pPr>
              <w:spacing w:after="160" w:line="278" w:lineRule="auto"/>
            </w:pPr>
            <w:r w:rsidRPr="00DB79C2">
              <w:t>2023–24</w:t>
            </w:r>
          </w:p>
        </w:tc>
        <w:tc>
          <w:tcPr>
            <w:tcW w:w="0" w:type="auto"/>
            <w:shd w:val="clear" w:color="auto" w:fill="A5C9EB" w:themeFill="text2" w:themeFillTint="40"/>
            <w:hideMark/>
          </w:tcPr>
          <w:p w14:paraId="27E5AF97" w14:textId="77777777" w:rsidR="007158F2" w:rsidRPr="00DB79C2" w:rsidRDefault="007158F2" w:rsidP="008E26E9">
            <w:pPr>
              <w:spacing w:after="160" w:line="278" w:lineRule="auto"/>
            </w:pPr>
            <w:r w:rsidRPr="00DB79C2">
              <w:t>8.3%</w:t>
            </w:r>
          </w:p>
        </w:tc>
        <w:tc>
          <w:tcPr>
            <w:tcW w:w="0" w:type="auto"/>
            <w:shd w:val="clear" w:color="auto" w:fill="A5C9EB" w:themeFill="text2" w:themeFillTint="40"/>
            <w:hideMark/>
          </w:tcPr>
          <w:p w14:paraId="318E0800" w14:textId="77777777" w:rsidR="007158F2" w:rsidRPr="00DB79C2" w:rsidRDefault="007158F2" w:rsidP="008E26E9">
            <w:pPr>
              <w:spacing w:after="160" w:line="278" w:lineRule="auto"/>
            </w:pPr>
            <w:r w:rsidRPr="00DB79C2">
              <w:t>7.3%</w:t>
            </w:r>
          </w:p>
        </w:tc>
        <w:tc>
          <w:tcPr>
            <w:tcW w:w="0" w:type="auto"/>
            <w:shd w:val="clear" w:color="auto" w:fill="A5C9EB" w:themeFill="text2" w:themeFillTint="40"/>
            <w:hideMark/>
          </w:tcPr>
          <w:p w14:paraId="30D5C12A" w14:textId="77777777" w:rsidR="007158F2" w:rsidRPr="00DB79C2" w:rsidRDefault="007158F2" w:rsidP="008E26E9">
            <w:pPr>
              <w:spacing w:after="160" w:line="278" w:lineRule="auto"/>
            </w:pPr>
            <w:r w:rsidRPr="00DB79C2">
              <w:t>–2.2%</w:t>
            </w:r>
          </w:p>
        </w:tc>
        <w:tc>
          <w:tcPr>
            <w:tcW w:w="0" w:type="auto"/>
            <w:shd w:val="clear" w:color="auto" w:fill="A5C9EB" w:themeFill="text2" w:themeFillTint="40"/>
            <w:hideMark/>
          </w:tcPr>
          <w:p w14:paraId="136047F2" w14:textId="77777777" w:rsidR="007158F2" w:rsidRPr="00DB79C2" w:rsidRDefault="007158F2" w:rsidP="008E26E9">
            <w:pPr>
              <w:spacing w:after="160" w:line="278" w:lineRule="auto"/>
            </w:pPr>
            <w:r w:rsidRPr="00DB79C2">
              <w:t>5.5%</w:t>
            </w:r>
          </w:p>
        </w:tc>
        <w:tc>
          <w:tcPr>
            <w:tcW w:w="0" w:type="auto"/>
            <w:shd w:val="clear" w:color="auto" w:fill="A5C9EB" w:themeFill="text2" w:themeFillTint="40"/>
            <w:hideMark/>
          </w:tcPr>
          <w:p w14:paraId="6FB4C0AA" w14:textId="77777777" w:rsidR="007158F2" w:rsidRPr="00DB79C2" w:rsidRDefault="007158F2" w:rsidP="008E26E9">
            <w:pPr>
              <w:spacing w:after="160" w:line="278" w:lineRule="auto"/>
            </w:pPr>
            <w:r w:rsidRPr="00DB79C2">
              <w:t>47.6%</w:t>
            </w:r>
          </w:p>
        </w:tc>
        <w:tc>
          <w:tcPr>
            <w:tcW w:w="0" w:type="auto"/>
            <w:shd w:val="clear" w:color="auto" w:fill="A5C9EB" w:themeFill="text2" w:themeFillTint="40"/>
            <w:hideMark/>
          </w:tcPr>
          <w:p w14:paraId="04502AFA" w14:textId="77777777" w:rsidR="007158F2" w:rsidRPr="00DB79C2" w:rsidRDefault="007158F2" w:rsidP="008E26E9">
            <w:pPr>
              <w:spacing w:after="160" w:line="278" w:lineRule="auto"/>
            </w:pPr>
            <w:r w:rsidRPr="00DB79C2">
              <w:t>60.8%</w:t>
            </w:r>
          </w:p>
        </w:tc>
      </w:tr>
      <w:tr w:rsidR="007158F2" w:rsidRPr="00DB79C2" w14:paraId="3C6BD882"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shd w:val="clear" w:color="auto" w:fill="A5C9EB" w:themeFill="text2" w:themeFillTint="40"/>
            <w:hideMark/>
          </w:tcPr>
          <w:p w14:paraId="5926D2C2" w14:textId="77777777" w:rsidR="007158F2" w:rsidRPr="00DB79C2" w:rsidRDefault="007158F2" w:rsidP="008E26E9">
            <w:pPr>
              <w:spacing w:after="160" w:line="278" w:lineRule="auto"/>
            </w:pPr>
            <w:r w:rsidRPr="00DB79C2">
              <w:t>2024–25</w:t>
            </w:r>
          </w:p>
        </w:tc>
        <w:tc>
          <w:tcPr>
            <w:tcW w:w="0" w:type="auto"/>
            <w:shd w:val="clear" w:color="auto" w:fill="A5C9EB" w:themeFill="text2" w:themeFillTint="40"/>
            <w:hideMark/>
          </w:tcPr>
          <w:p w14:paraId="41704EBE" w14:textId="77777777" w:rsidR="007158F2" w:rsidRPr="00DB79C2" w:rsidRDefault="007158F2" w:rsidP="008E26E9">
            <w:pPr>
              <w:spacing w:after="160" w:line="278" w:lineRule="auto"/>
            </w:pPr>
            <w:r w:rsidRPr="00DB79C2">
              <w:t>5.7%</w:t>
            </w:r>
          </w:p>
        </w:tc>
        <w:tc>
          <w:tcPr>
            <w:tcW w:w="0" w:type="auto"/>
            <w:shd w:val="clear" w:color="auto" w:fill="A5C9EB" w:themeFill="text2" w:themeFillTint="40"/>
            <w:hideMark/>
          </w:tcPr>
          <w:p w14:paraId="0C89A8F1" w14:textId="77777777" w:rsidR="007158F2" w:rsidRPr="00DB79C2" w:rsidRDefault="007158F2" w:rsidP="008E26E9">
            <w:pPr>
              <w:spacing w:after="160" w:line="278" w:lineRule="auto"/>
            </w:pPr>
            <w:r w:rsidRPr="00DB79C2">
              <w:t>5.1%</w:t>
            </w:r>
          </w:p>
        </w:tc>
        <w:tc>
          <w:tcPr>
            <w:tcW w:w="0" w:type="auto"/>
            <w:shd w:val="clear" w:color="auto" w:fill="A5C9EB" w:themeFill="text2" w:themeFillTint="40"/>
            <w:hideMark/>
          </w:tcPr>
          <w:p w14:paraId="1822D7D5" w14:textId="77777777" w:rsidR="007158F2" w:rsidRPr="00DB79C2" w:rsidRDefault="007158F2" w:rsidP="008E26E9">
            <w:pPr>
              <w:spacing w:after="160" w:line="278" w:lineRule="auto"/>
            </w:pPr>
            <w:r w:rsidRPr="00DB79C2">
              <w:t>–10.6%</w:t>
            </w:r>
          </w:p>
        </w:tc>
        <w:tc>
          <w:tcPr>
            <w:tcW w:w="0" w:type="auto"/>
            <w:shd w:val="clear" w:color="auto" w:fill="A5C9EB" w:themeFill="text2" w:themeFillTint="40"/>
            <w:hideMark/>
          </w:tcPr>
          <w:p w14:paraId="0BBEB54A" w14:textId="77777777" w:rsidR="007158F2" w:rsidRPr="00DB79C2" w:rsidRDefault="007158F2" w:rsidP="008E26E9">
            <w:pPr>
              <w:spacing w:after="160" w:line="278" w:lineRule="auto"/>
            </w:pPr>
            <w:r w:rsidRPr="00DB79C2">
              <w:t>–27.1%</w:t>
            </w:r>
          </w:p>
        </w:tc>
        <w:tc>
          <w:tcPr>
            <w:tcW w:w="0" w:type="auto"/>
            <w:shd w:val="clear" w:color="auto" w:fill="A5C9EB" w:themeFill="text2" w:themeFillTint="40"/>
            <w:hideMark/>
          </w:tcPr>
          <w:p w14:paraId="2E3D801F" w14:textId="77777777" w:rsidR="007158F2" w:rsidRPr="00DB79C2" w:rsidRDefault="007158F2" w:rsidP="008E26E9">
            <w:pPr>
              <w:spacing w:after="160" w:line="278" w:lineRule="auto"/>
            </w:pPr>
            <w:r w:rsidRPr="00DB79C2">
              <w:t>51.8%</w:t>
            </w:r>
          </w:p>
        </w:tc>
        <w:tc>
          <w:tcPr>
            <w:tcW w:w="0" w:type="auto"/>
            <w:shd w:val="clear" w:color="auto" w:fill="A5C9EB" w:themeFill="text2" w:themeFillTint="40"/>
            <w:hideMark/>
          </w:tcPr>
          <w:p w14:paraId="0868ED7F" w14:textId="77777777" w:rsidR="007158F2" w:rsidRPr="00DB79C2" w:rsidRDefault="007158F2" w:rsidP="008E26E9">
            <w:pPr>
              <w:spacing w:after="160" w:line="278" w:lineRule="auto"/>
            </w:pPr>
            <w:r w:rsidRPr="00DB79C2">
              <w:t>60.2%</w:t>
            </w:r>
          </w:p>
        </w:tc>
      </w:tr>
      <w:tr w:rsidR="007158F2" w14:paraId="0F0F7FE7"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10451" w:type="dxa"/>
            <w:gridSpan w:val="7"/>
            <w:shd w:val="clear" w:color="auto" w:fill="D1D1D1" w:themeFill="background2" w:themeFillShade="E6"/>
          </w:tcPr>
          <w:p w14:paraId="105DD5FC" w14:textId="77777777" w:rsidR="007158F2" w:rsidRDefault="007158F2" w:rsidP="008E26E9">
            <w:pPr>
              <w:rPr>
                <w:b/>
                <w:bCs/>
              </w:rPr>
            </w:pPr>
          </w:p>
          <w:p w14:paraId="7AE6E774" w14:textId="77777777" w:rsidR="007158F2" w:rsidRDefault="007158F2" w:rsidP="008E26E9">
            <w:r w:rsidRPr="00DB79C2">
              <w:rPr>
                <w:b/>
                <w:bCs/>
              </w:rPr>
              <w:t>Note</w:t>
            </w:r>
            <w:r w:rsidRPr="00DB79C2">
              <w:t>: For bonus pay gaps, a positive percentage indicates men received more on average, while a negative percentage indicates women received more.</w:t>
            </w:r>
            <w:r w:rsidRPr="00DB79C2">
              <w:br/>
            </w:r>
            <w:r w:rsidRPr="00DB79C2">
              <w:rPr>
                <w:b/>
                <w:bCs/>
              </w:rPr>
              <w:t>Example</w:t>
            </w:r>
            <w:r w:rsidRPr="00DB79C2">
              <w:t>: –10.6% = women’s bonus was higher on average than men’s.</w:t>
            </w:r>
          </w:p>
          <w:p w14:paraId="074A5537" w14:textId="77777777" w:rsidR="007158F2" w:rsidRDefault="007158F2" w:rsidP="008E26E9"/>
          <w:p w14:paraId="49B3CD10" w14:textId="77777777" w:rsidR="007158F2" w:rsidRDefault="007158F2" w:rsidP="008E26E9"/>
          <w:p w14:paraId="11CEAD7E" w14:textId="77777777" w:rsidR="007158F2" w:rsidRDefault="007158F2" w:rsidP="008E26E9"/>
          <w:p w14:paraId="40E2639C" w14:textId="77777777" w:rsidR="007158F2" w:rsidRDefault="007158F2" w:rsidP="008E26E9"/>
          <w:p w14:paraId="48143149" w14:textId="77777777" w:rsidR="007158F2" w:rsidRDefault="007158F2" w:rsidP="008E26E9"/>
          <w:p w14:paraId="49B3A0A6" w14:textId="77777777" w:rsidR="007158F2" w:rsidRDefault="007158F2" w:rsidP="008E26E9"/>
          <w:p w14:paraId="0B26E610" w14:textId="77777777" w:rsidR="007158F2" w:rsidRDefault="007158F2" w:rsidP="008E26E9"/>
          <w:p w14:paraId="6E549A8C" w14:textId="77777777" w:rsidR="007158F2" w:rsidRDefault="007158F2" w:rsidP="008E26E9"/>
          <w:p w14:paraId="3EB9E98A" w14:textId="77777777" w:rsidR="007158F2" w:rsidRDefault="007158F2" w:rsidP="008E26E9"/>
          <w:p w14:paraId="7D41368F" w14:textId="77777777" w:rsidR="007158F2" w:rsidRDefault="007158F2" w:rsidP="008E26E9"/>
          <w:p w14:paraId="49D70D93" w14:textId="77777777" w:rsidR="007158F2" w:rsidRDefault="007158F2" w:rsidP="008E26E9"/>
          <w:p w14:paraId="5A30A388" w14:textId="77777777" w:rsidR="007158F2" w:rsidRDefault="007158F2" w:rsidP="008E26E9"/>
          <w:p w14:paraId="16FE7E29" w14:textId="77777777" w:rsidR="007158F2" w:rsidRDefault="007158F2" w:rsidP="008E26E9"/>
          <w:p w14:paraId="3C3AB7FF" w14:textId="77777777" w:rsidR="007158F2" w:rsidRDefault="007158F2" w:rsidP="008E26E9"/>
          <w:p w14:paraId="33B187F5" w14:textId="77777777" w:rsidR="007158F2" w:rsidRDefault="007158F2" w:rsidP="008E26E9"/>
          <w:p w14:paraId="3CB97F12" w14:textId="77777777" w:rsidR="007158F2" w:rsidRDefault="007158F2" w:rsidP="008E26E9"/>
          <w:p w14:paraId="334CB0CE" w14:textId="77777777" w:rsidR="007158F2" w:rsidRDefault="007158F2" w:rsidP="008E26E9"/>
          <w:p w14:paraId="20278B75" w14:textId="77777777" w:rsidR="007158F2" w:rsidRDefault="007158F2" w:rsidP="008E26E9"/>
          <w:p w14:paraId="281DB8F5" w14:textId="77777777" w:rsidR="007158F2" w:rsidRDefault="007158F2" w:rsidP="008E26E9"/>
          <w:p w14:paraId="174D645A" w14:textId="77777777" w:rsidR="007158F2" w:rsidRDefault="007158F2" w:rsidP="008E26E9">
            <w:pPr>
              <w:rPr>
                <w:b/>
                <w:bCs/>
              </w:rPr>
            </w:pPr>
          </w:p>
        </w:tc>
      </w:tr>
    </w:tbl>
    <w:tbl>
      <w:tblPr>
        <w:tblStyle w:val="TableGrid"/>
        <w:tblpPr w:leftFromText="180" w:rightFromText="180" w:vertAnchor="text" w:horzAnchor="margin" w:tblpY="-329"/>
        <w:tblW w:w="0" w:type="auto"/>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325"/>
        <w:gridCol w:w="1254"/>
        <w:gridCol w:w="1176"/>
        <w:gridCol w:w="1253"/>
        <w:gridCol w:w="1163"/>
        <w:gridCol w:w="1426"/>
        <w:gridCol w:w="1419"/>
      </w:tblGrid>
      <w:tr w:rsidR="007158F2" w:rsidRPr="00DB79C2" w14:paraId="6BDCF696" w14:textId="77777777" w:rsidTr="008E26E9">
        <w:trPr>
          <w:trHeight w:val="100"/>
        </w:trPr>
        <w:tc>
          <w:tcPr>
            <w:tcW w:w="10456" w:type="dxa"/>
            <w:gridSpan w:val="7"/>
            <w:tcBorders>
              <w:left w:val="single" w:sz="4" w:space="0" w:color="auto"/>
              <w:right w:val="single" w:sz="4" w:space="0" w:color="auto"/>
            </w:tcBorders>
            <w:shd w:val="clear" w:color="auto" w:fill="00B0F0"/>
          </w:tcPr>
          <w:p w14:paraId="60AA8507" w14:textId="77777777" w:rsidR="007158F2" w:rsidRPr="00DB79C2" w:rsidRDefault="007158F2" w:rsidP="008E26E9">
            <w:pPr>
              <w:spacing w:after="160" w:line="278" w:lineRule="auto"/>
              <w:rPr>
                <w:b/>
                <w:bCs/>
                <w:sz w:val="28"/>
                <w:szCs w:val="28"/>
              </w:rPr>
            </w:pPr>
            <w:r w:rsidRPr="00DB79C2">
              <w:rPr>
                <w:b/>
                <w:bCs/>
                <w:sz w:val="28"/>
                <w:szCs w:val="28"/>
              </w:rPr>
              <w:lastRenderedPageBreak/>
              <w:t xml:space="preserve">University of </w:t>
            </w:r>
            <w:r>
              <w:rPr>
                <w:b/>
                <w:bCs/>
                <w:sz w:val="28"/>
                <w:szCs w:val="28"/>
              </w:rPr>
              <w:t>Manchester</w:t>
            </w:r>
          </w:p>
          <w:p w14:paraId="08BE3BA8" w14:textId="77777777" w:rsidR="007158F2" w:rsidRDefault="007158F2" w:rsidP="008E26E9">
            <w:pPr>
              <w:rPr>
                <w:b/>
                <w:bCs/>
                <w:sz w:val="28"/>
                <w:szCs w:val="28"/>
              </w:rPr>
            </w:pPr>
            <w:r w:rsidRPr="00DB79C2">
              <w:rPr>
                <w:b/>
                <w:bCs/>
                <w:sz w:val="28"/>
                <w:szCs w:val="28"/>
              </w:rPr>
              <w:t>5-Year Gender Pay Gap Comparison Table</w:t>
            </w:r>
          </w:p>
          <w:p w14:paraId="050354E8" w14:textId="77777777" w:rsidR="007158F2" w:rsidRPr="00DB79C2" w:rsidRDefault="007158F2" w:rsidP="008E26E9"/>
        </w:tc>
      </w:tr>
      <w:tr w:rsidR="007158F2" w:rsidRPr="000733AA" w14:paraId="26ED998A"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shd w:val="clear" w:color="auto" w:fill="4C94D8" w:themeFill="text2" w:themeFillTint="80"/>
            <w:hideMark/>
          </w:tcPr>
          <w:p w14:paraId="16ECBC13" w14:textId="77777777" w:rsidR="007158F2" w:rsidRPr="000733AA" w:rsidRDefault="007158F2" w:rsidP="008E26E9">
            <w:pPr>
              <w:spacing w:after="160" w:line="278" w:lineRule="auto"/>
              <w:rPr>
                <w:b/>
                <w:bCs/>
              </w:rPr>
            </w:pPr>
            <w:r w:rsidRPr="000733AA">
              <w:rPr>
                <w:b/>
                <w:bCs/>
              </w:rPr>
              <w:t>Reporting Year</w:t>
            </w:r>
          </w:p>
        </w:tc>
        <w:tc>
          <w:tcPr>
            <w:tcW w:w="0" w:type="auto"/>
            <w:shd w:val="clear" w:color="auto" w:fill="4C94D8" w:themeFill="text2" w:themeFillTint="80"/>
            <w:hideMark/>
          </w:tcPr>
          <w:p w14:paraId="12F7E7D1" w14:textId="77777777" w:rsidR="007158F2" w:rsidRPr="000733AA" w:rsidRDefault="007158F2" w:rsidP="008E26E9">
            <w:pPr>
              <w:spacing w:after="160" w:line="278" w:lineRule="auto"/>
              <w:rPr>
                <w:b/>
                <w:bCs/>
              </w:rPr>
            </w:pPr>
            <w:r w:rsidRPr="000733AA">
              <w:rPr>
                <w:b/>
                <w:bCs/>
              </w:rPr>
              <w:t>Median Hourly Pay Gap (%)</w:t>
            </w:r>
          </w:p>
        </w:tc>
        <w:tc>
          <w:tcPr>
            <w:tcW w:w="0" w:type="auto"/>
            <w:shd w:val="clear" w:color="auto" w:fill="4C94D8" w:themeFill="text2" w:themeFillTint="80"/>
            <w:hideMark/>
          </w:tcPr>
          <w:p w14:paraId="4B84F845" w14:textId="77777777" w:rsidR="007158F2" w:rsidRPr="000733AA" w:rsidRDefault="007158F2" w:rsidP="008E26E9">
            <w:pPr>
              <w:spacing w:after="160" w:line="278" w:lineRule="auto"/>
              <w:rPr>
                <w:b/>
                <w:bCs/>
              </w:rPr>
            </w:pPr>
            <w:r w:rsidRPr="000733AA">
              <w:rPr>
                <w:b/>
                <w:bCs/>
              </w:rPr>
              <w:t>Mean Hourly Pay Gap (%)</w:t>
            </w:r>
          </w:p>
        </w:tc>
        <w:tc>
          <w:tcPr>
            <w:tcW w:w="0" w:type="auto"/>
            <w:shd w:val="clear" w:color="auto" w:fill="4C94D8" w:themeFill="text2" w:themeFillTint="80"/>
            <w:hideMark/>
          </w:tcPr>
          <w:p w14:paraId="47354383" w14:textId="77777777" w:rsidR="007158F2" w:rsidRPr="000733AA" w:rsidRDefault="007158F2" w:rsidP="008E26E9">
            <w:pPr>
              <w:spacing w:after="160" w:line="278" w:lineRule="auto"/>
              <w:rPr>
                <w:b/>
                <w:bCs/>
              </w:rPr>
            </w:pPr>
            <w:r w:rsidRPr="000733AA">
              <w:rPr>
                <w:b/>
                <w:bCs/>
              </w:rPr>
              <w:t>Median Bonus Pay Gap (%)</w:t>
            </w:r>
          </w:p>
        </w:tc>
        <w:tc>
          <w:tcPr>
            <w:tcW w:w="0" w:type="auto"/>
            <w:shd w:val="clear" w:color="auto" w:fill="4C94D8" w:themeFill="text2" w:themeFillTint="80"/>
            <w:hideMark/>
          </w:tcPr>
          <w:p w14:paraId="616BC743" w14:textId="77777777" w:rsidR="007158F2" w:rsidRPr="000733AA" w:rsidRDefault="007158F2" w:rsidP="008E26E9">
            <w:pPr>
              <w:spacing w:after="160" w:line="278" w:lineRule="auto"/>
              <w:rPr>
                <w:b/>
                <w:bCs/>
              </w:rPr>
            </w:pPr>
            <w:r w:rsidRPr="000733AA">
              <w:rPr>
                <w:b/>
                <w:bCs/>
              </w:rPr>
              <w:t>Mean Bonus Pay Gap (%)</w:t>
            </w:r>
          </w:p>
        </w:tc>
        <w:tc>
          <w:tcPr>
            <w:tcW w:w="0" w:type="auto"/>
            <w:shd w:val="clear" w:color="auto" w:fill="4C94D8" w:themeFill="text2" w:themeFillTint="80"/>
            <w:hideMark/>
          </w:tcPr>
          <w:p w14:paraId="7EC84AE6" w14:textId="77777777" w:rsidR="007158F2" w:rsidRPr="000733AA" w:rsidRDefault="007158F2" w:rsidP="008E26E9">
            <w:pPr>
              <w:spacing w:after="160" w:line="278" w:lineRule="auto"/>
              <w:rPr>
                <w:b/>
                <w:bCs/>
              </w:rPr>
            </w:pPr>
            <w:r w:rsidRPr="000733AA">
              <w:rPr>
                <w:b/>
                <w:bCs/>
              </w:rPr>
              <w:t>Women in Highest Pay Quartile (%)</w:t>
            </w:r>
          </w:p>
        </w:tc>
        <w:tc>
          <w:tcPr>
            <w:tcW w:w="0" w:type="auto"/>
            <w:shd w:val="clear" w:color="auto" w:fill="4C94D8" w:themeFill="text2" w:themeFillTint="80"/>
            <w:hideMark/>
          </w:tcPr>
          <w:p w14:paraId="64EE5988" w14:textId="77777777" w:rsidR="007158F2" w:rsidRPr="000733AA" w:rsidRDefault="007158F2" w:rsidP="008E26E9">
            <w:pPr>
              <w:spacing w:after="160" w:line="278" w:lineRule="auto"/>
              <w:rPr>
                <w:b/>
                <w:bCs/>
              </w:rPr>
            </w:pPr>
            <w:r w:rsidRPr="000733AA">
              <w:rPr>
                <w:b/>
                <w:bCs/>
              </w:rPr>
              <w:t>Women in Lowest Pay Quartile (%)</w:t>
            </w:r>
          </w:p>
        </w:tc>
      </w:tr>
      <w:tr w:rsidR="007158F2" w:rsidRPr="000733AA" w14:paraId="6F10D2D8"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shd w:val="clear" w:color="auto" w:fill="A5C9EB" w:themeFill="text2" w:themeFillTint="40"/>
            <w:hideMark/>
          </w:tcPr>
          <w:p w14:paraId="04280287" w14:textId="77777777" w:rsidR="007158F2" w:rsidRPr="000733AA" w:rsidRDefault="007158F2" w:rsidP="008E26E9">
            <w:pPr>
              <w:spacing w:after="160" w:line="278" w:lineRule="auto"/>
            </w:pPr>
            <w:r w:rsidRPr="000733AA">
              <w:t>2020–21</w:t>
            </w:r>
          </w:p>
        </w:tc>
        <w:tc>
          <w:tcPr>
            <w:tcW w:w="0" w:type="auto"/>
            <w:shd w:val="clear" w:color="auto" w:fill="A5C9EB" w:themeFill="text2" w:themeFillTint="40"/>
            <w:hideMark/>
          </w:tcPr>
          <w:p w14:paraId="0DF59BC9" w14:textId="77777777" w:rsidR="007158F2" w:rsidRPr="000733AA" w:rsidRDefault="007158F2" w:rsidP="008E26E9">
            <w:pPr>
              <w:spacing w:after="160" w:line="278" w:lineRule="auto"/>
            </w:pPr>
            <w:r w:rsidRPr="000733AA">
              <w:t>11.8%</w:t>
            </w:r>
          </w:p>
        </w:tc>
        <w:tc>
          <w:tcPr>
            <w:tcW w:w="0" w:type="auto"/>
            <w:shd w:val="clear" w:color="auto" w:fill="A5C9EB" w:themeFill="text2" w:themeFillTint="40"/>
            <w:hideMark/>
          </w:tcPr>
          <w:p w14:paraId="22661DFA" w14:textId="77777777" w:rsidR="007158F2" w:rsidRPr="000733AA" w:rsidRDefault="007158F2" w:rsidP="008E26E9">
            <w:pPr>
              <w:spacing w:after="160" w:line="278" w:lineRule="auto"/>
            </w:pPr>
            <w:r w:rsidRPr="000733AA">
              <w:t>17.2%</w:t>
            </w:r>
          </w:p>
        </w:tc>
        <w:tc>
          <w:tcPr>
            <w:tcW w:w="0" w:type="auto"/>
            <w:shd w:val="clear" w:color="auto" w:fill="A5C9EB" w:themeFill="text2" w:themeFillTint="40"/>
            <w:hideMark/>
          </w:tcPr>
          <w:p w14:paraId="4298BCE3" w14:textId="77777777" w:rsidR="007158F2" w:rsidRPr="000733AA" w:rsidRDefault="007158F2" w:rsidP="008E26E9">
            <w:pPr>
              <w:spacing w:after="160" w:line="278" w:lineRule="auto"/>
            </w:pPr>
            <w:r w:rsidRPr="000733AA">
              <w:t>51.6%</w:t>
            </w:r>
          </w:p>
        </w:tc>
        <w:tc>
          <w:tcPr>
            <w:tcW w:w="0" w:type="auto"/>
            <w:shd w:val="clear" w:color="auto" w:fill="A5C9EB" w:themeFill="text2" w:themeFillTint="40"/>
            <w:hideMark/>
          </w:tcPr>
          <w:p w14:paraId="78932BB9" w14:textId="77777777" w:rsidR="007158F2" w:rsidRPr="000733AA" w:rsidRDefault="007158F2" w:rsidP="008E26E9">
            <w:pPr>
              <w:spacing w:after="160" w:line="278" w:lineRule="auto"/>
            </w:pPr>
            <w:r w:rsidRPr="000733AA">
              <w:t>50.8%</w:t>
            </w:r>
          </w:p>
        </w:tc>
        <w:tc>
          <w:tcPr>
            <w:tcW w:w="0" w:type="auto"/>
            <w:shd w:val="clear" w:color="auto" w:fill="A5C9EB" w:themeFill="text2" w:themeFillTint="40"/>
            <w:hideMark/>
          </w:tcPr>
          <w:p w14:paraId="4101618D" w14:textId="77777777" w:rsidR="007158F2" w:rsidRPr="000733AA" w:rsidRDefault="007158F2" w:rsidP="008E26E9">
            <w:pPr>
              <w:spacing w:after="160" w:line="278" w:lineRule="auto"/>
            </w:pPr>
            <w:r w:rsidRPr="000733AA">
              <w:t>40.8%</w:t>
            </w:r>
          </w:p>
        </w:tc>
        <w:tc>
          <w:tcPr>
            <w:tcW w:w="0" w:type="auto"/>
            <w:shd w:val="clear" w:color="auto" w:fill="A5C9EB" w:themeFill="text2" w:themeFillTint="40"/>
            <w:hideMark/>
          </w:tcPr>
          <w:p w14:paraId="6D08361C" w14:textId="77777777" w:rsidR="007158F2" w:rsidRPr="000733AA" w:rsidRDefault="007158F2" w:rsidP="008E26E9">
            <w:pPr>
              <w:spacing w:after="160" w:line="278" w:lineRule="auto"/>
            </w:pPr>
            <w:r w:rsidRPr="000733AA">
              <w:t>61.2%</w:t>
            </w:r>
          </w:p>
        </w:tc>
      </w:tr>
      <w:tr w:rsidR="007158F2" w:rsidRPr="000733AA" w14:paraId="64C7A170"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shd w:val="clear" w:color="auto" w:fill="A5C9EB" w:themeFill="text2" w:themeFillTint="40"/>
            <w:hideMark/>
          </w:tcPr>
          <w:p w14:paraId="7375A047" w14:textId="77777777" w:rsidR="007158F2" w:rsidRPr="000733AA" w:rsidRDefault="007158F2" w:rsidP="008E26E9">
            <w:pPr>
              <w:spacing w:after="160" w:line="278" w:lineRule="auto"/>
            </w:pPr>
            <w:r w:rsidRPr="000733AA">
              <w:t>2021–22</w:t>
            </w:r>
          </w:p>
        </w:tc>
        <w:tc>
          <w:tcPr>
            <w:tcW w:w="0" w:type="auto"/>
            <w:shd w:val="clear" w:color="auto" w:fill="A5C9EB" w:themeFill="text2" w:themeFillTint="40"/>
            <w:hideMark/>
          </w:tcPr>
          <w:p w14:paraId="0292AEB8" w14:textId="77777777" w:rsidR="007158F2" w:rsidRPr="000733AA" w:rsidRDefault="007158F2" w:rsidP="008E26E9">
            <w:pPr>
              <w:spacing w:after="160" w:line="278" w:lineRule="auto"/>
            </w:pPr>
            <w:r w:rsidRPr="000733AA">
              <w:t>11.1%</w:t>
            </w:r>
          </w:p>
        </w:tc>
        <w:tc>
          <w:tcPr>
            <w:tcW w:w="0" w:type="auto"/>
            <w:shd w:val="clear" w:color="auto" w:fill="A5C9EB" w:themeFill="text2" w:themeFillTint="40"/>
            <w:hideMark/>
          </w:tcPr>
          <w:p w14:paraId="5045841D" w14:textId="77777777" w:rsidR="007158F2" w:rsidRPr="000733AA" w:rsidRDefault="007158F2" w:rsidP="008E26E9">
            <w:pPr>
              <w:spacing w:after="160" w:line="278" w:lineRule="auto"/>
            </w:pPr>
            <w:r w:rsidRPr="000733AA">
              <w:t>15.6%</w:t>
            </w:r>
          </w:p>
        </w:tc>
        <w:tc>
          <w:tcPr>
            <w:tcW w:w="0" w:type="auto"/>
            <w:shd w:val="clear" w:color="auto" w:fill="A5C9EB" w:themeFill="text2" w:themeFillTint="40"/>
            <w:hideMark/>
          </w:tcPr>
          <w:p w14:paraId="15EA1A04" w14:textId="77777777" w:rsidR="007158F2" w:rsidRPr="000733AA" w:rsidRDefault="007158F2" w:rsidP="008E26E9">
            <w:pPr>
              <w:spacing w:after="160" w:line="278" w:lineRule="auto"/>
            </w:pPr>
            <w:r w:rsidRPr="000733AA">
              <w:t>19.3%</w:t>
            </w:r>
          </w:p>
        </w:tc>
        <w:tc>
          <w:tcPr>
            <w:tcW w:w="0" w:type="auto"/>
            <w:shd w:val="clear" w:color="auto" w:fill="A5C9EB" w:themeFill="text2" w:themeFillTint="40"/>
            <w:hideMark/>
          </w:tcPr>
          <w:p w14:paraId="50F4CEE3" w14:textId="77777777" w:rsidR="007158F2" w:rsidRPr="000733AA" w:rsidRDefault="007158F2" w:rsidP="008E26E9">
            <w:pPr>
              <w:spacing w:after="160" w:line="278" w:lineRule="auto"/>
            </w:pPr>
            <w:r w:rsidRPr="000733AA">
              <w:t>59.7%</w:t>
            </w:r>
          </w:p>
        </w:tc>
        <w:tc>
          <w:tcPr>
            <w:tcW w:w="0" w:type="auto"/>
            <w:shd w:val="clear" w:color="auto" w:fill="A5C9EB" w:themeFill="text2" w:themeFillTint="40"/>
            <w:hideMark/>
          </w:tcPr>
          <w:p w14:paraId="5AB1C696" w14:textId="77777777" w:rsidR="007158F2" w:rsidRPr="000733AA" w:rsidRDefault="007158F2" w:rsidP="008E26E9">
            <w:pPr>
              <w:spacing w:after="160" w:line="278" w:lineRule="auto"/>
            </w:pPr>
            <w:r w:rsidRPr="000733AA">
              <w:t>41.8%</w:t>
            </w:r>
          </w:p>
        </w:tc>
        <w:tc>
          <w:tcPr>
            <w:tcW w:w="0" w:type="auto"/>
            <w:shd w:val="clear" w:color="auto" w:fill="A5C9EB" w:themeFill="text2" w:themeFillTint="40"/>
            <w:hideMark/>
          </w:tcPr>
          <w:p w14:paraId="711C4673" w14:textId="77777777" w:rsidR="007158F2" w:rsidRPr="000733AA" w:rsidRDefault="007158F2" w:rsidP="008E26E9">
            <w:pPr>
              <w:spacing w:after="160" w:line="278" w:lineRule="auto"/>
            </w:pPr>
            <w:r w:rsidRPr="000733AA">
              <w:t>40.0%</w:t>
            </w:r>
          </w:p>
        </w:tc>
      </w:tr>
      <w:tr w:rsidR="007158F2" w:rsidRPr="000733AA" w14:paraId="3C9DA29F"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shd w:val="clear" w:color="auto" w:fill="A5C9EB" w:themeFill="text2" w:themeFillTint="40"/>
            <w:hideMark/>
          </w:tcPr>
          <w:p w14:paraId="598922AC" w14:textId="77777777" w:rsidR="007158F2" w:rsidRPr="000733AA" w:rsidRDefault="007158F2" w:rsidP="008E26E9">
            <w:pPr>
              <w:spacing w:after="160" w:line="278" w:lineRule="auto"/>
            </w:pPr>
            <w:r w:rsidRPr="000733AA">
              <w:t>2022–23</w:t>
            </w:r>
          </w:p>
        </w:tc>
        <w:tc>
          <w:tcPr>
            <w:tcW w:w="0" w:type="auto"/>
            <w:shd w:val="clear" w:color="auto" w:fill="A5C9EB" w:themeFill="text2" w:themeFillTint="40"/>
            <w:hideMark/>
          </w:tcPr>
          <w:p w14:paraId="7D040A48" w14:textId="77777777" w:rsidR="007158F2" w:rsidRPr="000733AA" w:rsidRDefault="007158F2" w:rsidP="008E26E9">
            <w:pPr>
              <w:spacing w:after="160" w:line="278" w:lineRule="auto"/>
            </w:pPr>
            <w:r w:rsidRPr="000733AA">
              <w:t>10.5%</w:t>
            </w:r>
          </w:p>
        </w:tc>
        <w:tc>
          <w:tcPr>
            <w:tcW w:w="0" w:type="auto"/>
            <w:shd w:val="clear" w:color="auto" w:fill="A5C9EB" w:themeFill="text2" w:themeFillTint="40"/>
            <w:hideMark/>
          </w:tcPr>
          <w:p w14:paraId="1F0B5848" w14:textId="77777777" w:rsidR="007158F2" w:rsidRPr="000733AA" w:rsidRDefault="007158F2" w:rsidP="008E26E9">
            <w:pPr>
              <w:spacing w:after="160" w:line="278" w:lineRule="auto"/>
            </w:pPr>
            <w:r w:rsidRPr="000733AA">
              <w:t>14.1%</w:t>
            </w:r>
          </w:p>
        </w:tc>
        <w:tc>
          <w:tcPr>
            <w:tcW w:w="0" w:type="auto"/>
            <w:shd w:val="clear" w:color="auto" w:fill="A5C9EB" w:themeFill="text2" w:themeFillTint="40"/>
            <w:hideMark/>
          </w:tcPr>
          <w:p w14:paraId="114679D5" w14:textId="77777777" w:rsidR="007158F2" w:rsidRPr="000733AA" w:rsidRDefault="007158F2" w:rsidP="008E26E9">
            <w:pPr>
              <w:spacing w:after="160" w:line="278" w:lineRule="auto"/>
            </w:pPr>
            <w:r w:rsidRPr="000733AA">
              <w:t>61.7%</w:t>
            </w:r>
          </w:p>
        </w:tc>
        <w:tc>
          <w:tcPr>
            <w:tcW w:w="0" w:type="auto"/>
            <w:shd w:val="clear" w:color="auto" w:fill="A5C9EB" w:themeFill="text2" w:themeFillTint="40"/>
            <w:hideMark/>
          </w:tcPr>
          <w:p w14:paraId="57BC9248" w14:textId="77777777" w:rsidR="007158F2" w:rsidRPr="000733AA" w:rsidRDefault="007158F2" w:rsidP="008E26E9">
            <w:pPr>
              <w:spacing w:after="160" w:line="278" w:lineRule="auto"/>
            </w:pPr>
            <w:r w:rsidRPr="000733AA">
              <w:t>61.5%</w:t>
            </w:r>
          </w:p>
        </w:tc>
        <w:tc>
          <w:tcPr>
            <w:tcW w:w="0" w:type="auto"/>
            <w:shd w:val="clear" w:color="auto" w:fill="A5C9EB" w:themeFill="text2" w:themeFillTint="40"/>
            <w:hideMark/>
          </w:tcPr>
          <w:p w14:paraId="7844ACF1" w14:textId="77777777" w:rsidR="007158F2" w:rsidRPr="000733AA" w:rsidRDefault="007158F2" w:rsidP="008E26E9">
            <w:pPr>
              <w:spacing w:after="160" w:line="278" w:lineRule="auto"/>
            </w:pPr>
            <w:r w:rsidRPr="000733AA">
              <w:t>41.9%</w:t>
            </w:r>
          </w:p>
        </w:tc>
        <w:tc>
          <w:tcPr>
            <w:tcW w:w="0" w:type="auto"/>
            <w:shd w:val="clear" w:color="auto" w:fill="A5C9EB" w:themeFill="text2" w:themeFillTint="40"/>
            <w:hideMark/>
          </w:tcPr>
          <w:p w14:paraId="7DABA31E" w14:textId="77777777" w:rsidR="007158F2" w:rsidRPr="000733AA" w:rsidRDefault="007158F2" w:rsidP="008E26E9">
            <w:pPr>
              <w:spacing w:after="160" w:line="278" w:lineRule="auto"/>
            </w:pPr>
            <w:r w:rsidRPr="000733AA">
              <w:t>61.4%</w:t>
            </w:r>
          </w:p>
        </w:tc>
      </w:tr>
      <w:tr w:rsidR="007158F2" w:rsidRPr="000733AA" w14:paraId="20A08444"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shd w:val="clear" w:color="auto" w:fill="A5C9EB" w:themeFill="text2" w:themeFillTint="40"/>
            <w:hideMark/>
          </w:tcPr>
          <w:p w14:paraId="067476D2" w14:textId="77777777" w:rsidR="007158F2" w:rsidRPr="000733AA" w:rsidRDefault="007158F2" w:rsidP="008E26E9">
            <w:pPr>
              <w:spacing w:after="160" w:line="278" w:lineRule="auto"/>
            </w:pPr>
            <w:r w:rsidRPr="000733AA">
              <w:t>2023–24</w:t>
            </w:r>
          </w:p>
        </w:tc>
        <w:tc>
          <w:tcPr>
            <w:tcW w:w="0" w:type="auto"/>
            <w:shd w:val="clear" w:color="auto" w:fill="A5C9EB" w:themeFill="text2" w:themeFillTint="40"/>
            <w:hideMark/>
          </w:tcPr>
          <w:p w14:paraId="3CFF0D96" w14:textId="77777777" w:rsidR="007158F2" w:rsidRPr="000733AA" w:rsidRDefault="007158F2" w:rsidP="008E26E9">
            <w:pPr>
              <w:spacing w:after="160" w:line="278" w:lineRule="auto"/>
            </w:pPr>
            <w:r w:rsidRPr="000733AA">
              <w:t>8.2%</w:t>
            </w:r>
          </w:p>
        </w:tc>
        <w:tc>
          <w:tcPr>
            <w:tcW w:w="0" w:type="auto"/>
            <w:shd w:val="clear" w:color="auto" w:fill="A5C9EB" w:themeFill="text2" w:themeFillTint="40"/>
            <w:hideMark/>
          </w:tcPr>
          <w:p w14:paraId="1FB90F48" w14:textId="77777777" w:rsidR="007158F2" w:rsidRPr="000733AA" w:rsidRDefault="007158F2" w:rsidP="008E26E9">
            <w:pPr>
              <w:spacing w:after="160" w:line="278" w:lineRule="auto"/>
            </w:pPr>
            <w:r w:rsidRPr="000733AA">
              <w:t>12.8%</w:t>
            </w:r>
          </w:p>
        </w:tc>
        <w:tc>
          <w:tcPr>
            <w:tcW w:w="0" w:type="auto"/>
            <w:shd w:val="clear" w:color="auto" w:fill="A5C9EB" w:themeFill="text2" w:themeFillTint="40"/>
            <w:hideMark/>
          </w:tcPr>
          <w:p w14:paraId="198C0431" w14:textId="77777777" w:rsidR="007158F2" w:rsidRPr="000733AA" w:rsidRDefault="007158F2" w:rsidP="008E26E9">
            <w:pPr>
              <w:spacing w:after="160" w:line="278" w:lineRule="auto"/>
            </w:pPr>
            <w:r w:rsidRPr="000733AA">
              <w:t>63.2%</w:t>
            </w:r>
          </w:p>
        </w:tc>
        <w:tc>
          <w:tcPr>
            <w:tcW w:w="0" w:type="auto"/>
            <w:shd w:val="clear" w:color="auto" w:fill="A5C9EB" w:themeFill="text2" w:themeFillTint="40"/>
            <w:hideMark/>
          </w:tcPr>
          <w:p w14:paraId="2B8986C5" w14:textId="77777777" w:rsidR="007158F2" w:rsidRPr="000733AA" w:rsidRDefault="007158F2" w:rsidP="008E26E9">
            <w:pPr>
              <w:spacing w:after="160" w:line="278" w:lineRule="auto"/>
            </w:pPr>
            <w:r w:rsidRPr="000733AA">
              <w:t>47.1%</w:t>
            </w:r>
          </w:p>
        </w:tc>
        <w:tc>
          <w:tcPr>
            <w:tcW w:w="0" w:type="auto"/>
            <w:shd w:val="clear" w:color="auto" w:fill="A5C9EB" w:themeFill="text2" w:themeFillTint="40"/>
            <w:hideMark/>
          </w:tcPr>
          <w:p w14:paraId="56040B88" w14:textId="77777777" w:rsidR="007158F2" w:rsidRPr="000733AA" w:rsidRDefault="007158F2" w:rsidP="008E26E9">
            <w:pPr>
              <w:spacing w:after="160" w:line="278" w:lineRule="auto"/>
            </w:pPr>
            <w:r w:rsidRPr="000733AA">
              <w:t>42.4%</w:t>
            </w:r>
          </w:p>
        </w:tc>
        <w:tc>
          <w:tcPr>
            <w:tcW w:w="0" w:type="auto"/>
            <w:shd w:val="clear" w:color="auto" w:fill="A5C9EB" w:themeFill="text2" w:themeFillTint="40"/>
            <w:hideMark/>
          </w:tcPr>
          <w:p w14:paraId="743B43AF" w14:textId="77777777" w:rsidR="007158F2" w:rsidRPr="000733AA" w:rsidRDefault="007158F2" w:rsidP="008E26E9">
            <w:pPr>
              <w:spacing w:after="160" w:line="278" w:lineRule="auto"/>
            </w:pPr>
            <w:r w:rsidRPr="000733AA">
              <w:t>57.9%</w:t>
            </w:r>
          </w:p>
        </w:tc>
      </w:tr>
      <w:tr w:rsidR="007158F2" w:rsidRPr="000733AA" w14:paraId="00AFF8EA" w14:textId="77777777" w:rsidTr="008E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shd w:val="clear" w:color="auto" w:fill="A5C9EB" w:themeFill="text2" w:themeFillTint="40"/>
            <w:hideMark/>
          </w:tcPr>
          <w:p w14:paraId="48FEE990" w14:textId="77777777" w:rsidR="007158F2" w:rsidRPr="000733AA" w:rsidRDefault="007158F2" w:rsidP="008E26E9">
            <w:pPr>
              <w:spacing w:after="160" w:line="278" w:lineRule="auto"/>
            </w:pPr>
            <w:r w:rsidRPr="000733AA">
              <w:t>2024–25</w:t>
            </w:r>
          </w:p>
        </w:tc>
        <w:tc>
          <w:tcPr>
            <w:tcW w:w="0" w:type="auto"/>
            <w:shd w:val="clear" w:color="auto" w:fill="A5C9EB" w:themeFill="text2" w:themeFillTint="40"/>
            <w:hideMark/>
          </w:tcPr>
          <w:p w14:paraId="76531060" w14:textId="77777777" w:rsidR="007158F2" w:rsidRPr="000733AA" w:rsidRDefault="007158F2" w:rsidP="008E26E9">
            <w:pPr>
              <w:spacing w:after="160" w:line="278" w:lineRule="auto"/>
            </w:pPr>
            <w:r w:rsidRPr="000733AA">
              <w:t>9.8%</w:t>
            </w:r>
          </w:p>
        </w:tc>
        <w:tc>
          <w:tcPr>
            <w:tcW w:w="0" w:type="auto"/>
            <w:shd w:val="clear" w:color="auto" w:fill="A5C9EB" w:themeFill="text2" w:themeFillTint="40"/>
            <w:hideMark/>
          </w:tcPr>
          <w:p w14:paraId="6BA8359F" w14:textId="77777777" w:rsidR="007158F2" w:rsidRPr="000733AA" w:rsidRDefault="007158F2" w:rsidP="008E26E9">
            <w:pPr>
              <w:spacing w:after="160" w:line="278" w:lineRule="auto"/>
            </w:pPr>
            <w:r w:rsidRPr="000733AA">
              <w:t>15.5%</w:t>
            </w:r>
          </w:p>
        </w:tc>
        <w:tc>
          <w:tcPr>
            <w:tcW w:w="0" w:type="auto"/>
            <w:shd w:val="clear" w:color="auto" w:fill="A5C9EB" w:themeFill="text2" w:themeFillTint="40"/>
            <w:hideMark/>
          </w:tcPr>
          <w:p w14:paraId="2F1E139E" w14:textId="77777777" w:rsidR="007158F2" w:rsidRPr="000733AA" w:rsidRDefault="007158F2" w:rsidP="008E26E9">
            <w:pPr>
              <w:spacing w:after="160" w:line="278" w:lineRule="auto"/>
            </w:pPr>
            <w:r w:rsidRPr="000733AA">
              <w:t>–96.3%</w:t>
            </w:r>
          </w:p>
        </w:tc>
        <w:tc>
          <w:tcPr>
            <w:tcW w:w="0" w:type="auto"/>
            <w:shd w:val="clear" w:color="auto" w:fill="A5C9EB" w:themeFill="text2" w:themeFillTint="40"/>
            <w:hideMark/>
          </w:tcPr>
          <w:p w14:paraId="2FE35BCE" w14:textId="77777777" w:rsidR="007158F2" w:rsidRPr="000733AA" w:rsidRDefault="007158F2" w:rsidP="008E26E9">
            <w:pPr>
              <w:spacing w:after="160" w:line="278" w:lineRule="auto"/>
            </w:pPr>
            <w:r w:rsidRPr="000733AA">
              <w:t>41.0%</w:t>
            </w:r>
          </w:p>
        </w:tc>
        <w:tc>
          <w:tcPr>
            <w:tcW w:w="0" w:type="auto"/>
            <w:shd w:val="clear" w:color="auto" w:fill="A5C9EB" w:themeFill="text2" w:themeFillTint="40"/>
            <w:hideMark/>
          </w:tcPr>
          <w:p w14:paraId="4045CBA5" w14:textId="77777777" w:rsidR="007158F2" w:rsidRPr="000733AA" w:rsidRDefault="007158F2" w:rsidP="008E26E9">
            <w:pPr>
              <w:spacing w:after="160" w:line="278" w:lineRule="auto"/>
            </w:pPr>
            <w:r w:rsidRPr="000733AA">
              <w:t>43.9%</w:t>
            </w:r>
          </w:p>
        </w:tc>
        <w:tc>
          <w:tcPr>
            <w:tcW w:w="0" w:type="auto"/>
            <w:shd w:val="clear" w:color="auto" w:fill="A5C9EB" w:themeFill="text2" w:themeFillTint="40"/>
            <w:hideMark/>
          </w:tcPr>
          <w:p w14:paraId="50A262AA" w14:textId="77777777" w:rsidR="007158F2" w:rsidRPr="000733AA" w:rsidRDefault="007158F2" w:rsidP="008E26E9">
            <w:pPr>
              <w:spacing w:after="160" w:line="278" w:lineRule="auto"/>
            </w:pPr>
            <w:r w:rsidRPr="000733AA">
              <w:t>63.6%</w:t>
            </w:r>
          </w:p>
        </w:tc>
      </w:tr>
      <w:tr w:rsidR="007158F2" w14:paraId="5BE37FAD" w14:textId="77777777" w:rsidTr="008E26E9">
        <w:trPr>
          <w:trHeight w:val="100"/>
        </w:trPr>
        <w:tc>
          <w:tcPr>
            <w:tcW w:w="10456" w:type="dxa"/>
            <w:gridSpan w:val="7"/>
            <w:tcBorders>
              <w:left w:val="single" w:sz="4" w:space="0" w:color="auto"/>
              <w:bottom w:val="single" w:sz="4" w:space="0" w:color="auto"/>
              <w:right w:val="single" w:sz="4" w:space="0" w:color="auto"/>
            </w:tcBorders>
            <w:shd w:val="clear" w:color="auto" w:fill="D1D1D1" w:themeFill="background2" w:themeFillShade="E6"/>
          </w:tcPr>
          <w:p w14:paraId="79ECE4B9" w14:textId="77777777" w:rsidR="007158F2" w:rsidRPr="007102FF" w:rsidRDefault="007158F2" w:rsidP="008E26E9">
            <w:pPr>
              <w:spacing w:after="160" w:line="278" w:lineRule="auto"/>
            </w:pPr>
            <w:r w:rsidRPr="007102FF">
              <w:rPr>
                <w:b/>
                <w:bCs/>
              </w:rPr>
              <w:t>Clarification on Bonus Pay Gap Calculation (University of Manchester, 2024–25):</w:t>
            </w:r>
            <w:r w:rsidRPr="007102FF">
              <w:br/>
              <w:t>The median bonus pay gap is calculated using the official UK government formula:</w:t>
            </w:r>
          </w:p>
          <w:p w14:paraId="100F847F" w14:textId="77777777" w:rsidR="007158F2" w:rsidRPr="007102FF" w:rsidRDefault="007158F2" w:rsidP="008E26E9">
            <w:pPr>
              <w:spacing w:after="160" w:line="278" w:lineRule="auto"/>
            </w:pPr>
            <w:r w:rsidRPr="007102FF">
              <w:rPr>
                <w:b/>
                <w:bCs/>
              </w:rPr>
              <w:t>Bonus Pay Gap (%) = ((Men’s Median Bonus – Women’s Median Bonus) / Men’s Median Bonus) × 100</w:t>
            </w:r>
          </w:p>
          <w:p w14:paraId="3E5AC1BF" w14:textId="77777777" w:rsidR="007158F2" w:rsidRPr="007102FF" w:rsidRDefault="007158F2" w:rsidP="008E26E9">
            <w:pPr>
              <w:spacing w:after="160" w:line="278" w:lineRule="auto"/>
            </w:pPr>
            <w:r w:rsidRPr="007102FF">
              <w:t>For 2024–25, the reported figures were:</w:t>
            </w:r>
          </w:p>
          <w:p w14:paraId="3AC78C69" w14:textId="77777777" w:rsidR="007158F2" w:rsidRPr="007102FF" w:rsidRDefault="007158F2" w:rsidP="008E26E9">
            <w:pPr>
              <w:numPr>
                <w:ilvl w:val="0"/>
                <w:numId w:val="3"/>
              </w:numPr>
              <w:spacing w:after="160" w:line="278" w:lineRule="auto"/>
            </w:pPr>
            <w:r w:rsidRPr="007102FF">
              <w:rPr>
                <w:b/>
                <w:bCs/>
              </w:rPr>
              <w:t>Women’s median bonus</w:t>
            </w:r>
            <w:r w:rsidRPr="007102FF">
              <w:t>: £1.96</w:t>
            </w:r>
          </w:p>
          <w:p w14:paraId="146271B0" w14:textId="77777777" w:rsidR="007158F2" w:rsidRPr="007102FF" w:rsidRDefault="007158F2" w:rsidP="008E26E9">
            <w:pPr>
              <w:numPr>
                <w:ilvl w:val="0"/>
                <w:numId w:val="3"/>
              </w:numPr>
              <w:spacing w:after="160" w:line="278" w:lineRule="auto"/>
            </w:pPr>
            <w:r w:rsidRPr="007102FF">
              <w:rPr>
                <w:b/>
                <w:bCs/>
              </w:rPr>
              <w:t>Men’s median bonus</w:t>
            </w:r>
            <w:r w:rsidRPr="007102FF">
              <w:t>: £1.00</w:t>
            </w:r>
          </w:p>
          <w:p w14:paraId="1FB022BD" w14:textId="77777777" w:rsidR="007158F2" w:rsidRPr="007102FF" w:rsidRDefault="007158F2" w:rsidP="008E26E9">
            <w:pPr>
              <w:spacing w:after="160" w:line="278" w:lineRule="auto"/>
            </w:pPr>
            <w:r w:rsidRPr="007102FF">
              <w:rPr>
                <w:b/>
                <w:bCs/>
              </w:rPr>
              <w:t>Bonus Pay Gap (%) = ((1.00 – 1.96) / 1.00) × 100 = –96.3%</w:t>
            </w:r>
          </w:p>
          <w:p w14:paraId="4331702C" w14:textId="77777777" w:rsidR="007158F2" w:rsidRPr="005C7AAE" w:rsidRDefault="007158F2" w:rsidP="008E26E9">
            <w:pPr>
              <w:spacing w:after="160" w:line="278" w:lineRule="auto"/>
            </w:pPr>
            <w:r w:rsidRPr="005C7AAE">
              <w:t xml:space="preserve">This resulted in a </w:t>
            </w:r>
            <w:r w:rsidRPr="005C7AAE">
              <w:rPr>
                <w:b/>
                <w:bCs/>
              </w:rPr>
              <w:t>–96.3% median bonus gap</w:t>
            </w:r>
            <w:r w:rsidRPr="005C7AAE">
              <w:t>, meaning that women received a higher median bonus than men. However, because the actual bonus amounts were very small, the percentage difference appears large but does not represent a substantial monetary gap.</w:t>
            </w:r>
          </w:p>
          <w:p w14:paraId="5AA914B6" w14:textId="77777777" w:rsidR="007158F2" w:rsidRDefault="007158F2" w:rsidP="008E26E9"/>
          <w:p w14:paraId="238C63F5" w14:textId="77777777" w:rsidR="007158F2" w:rsidRDefault="007158F2" w:rsidP="008E26E9"/>
        </w:tc>
      </w:tr>
    </w:tbl>
    <w:p w14:paraId="41A5E93D" w14:textId="77777777" w:rsidR="007158F2" w:rsidRDefault="007158F2" w:rsidP="007158F2"/>
    <w:tbl>
      <w:tblPr>
        <w:tblStyle w:val="TableGrid"/>
        <w:tblpPr w:leftFromText="180" w:rightFromText="180" w:vertAnchor="text" w:tblpY="36"/>
        <w:tblW w:w="0" w:type="auto"/>
        <w:tblLook w:val="0000" w:firstRow="0" w:lastRow="0" w:firstColumn="0" w:lastColumn="0" w:noHBand="0" w:noVBand="0"/>
      </w:tblPr>
      <w:tblGrid>
        <w:gridCol w:w="1325"/>
        <w:gridCol w:w="1254"/>
        <w:gridCol w:w="1176"/>
        <w:gridCol w:w="1253"/>
        <w:gridCol w:w="1163"/>
        <w:gridCol w:w="1426"/>
        <w:gridCol w:w="1419"/>
      </w:tblGrid>
      <w:tr w:rsidR="007158F2" w:rsidRPr="007102FF" w14:paraId="4ECCFB81" w14:textId="77777777" w:rsidTr="008E26E9">
        <w:trPr>
          <w:trHeight w:val="510"/>
        </w:trPr>
        <w:tc>
          <w:tcPr>
            <w:tcW w:w="10456" w:type="dxa"/>
            <w:gridSpan w:val="7"/>
            <w:shd w:val="clear" w:color="auto" w:fill="00B0F0"/>
          </w:tcPr>
          <w:p w14:paraId="14F19763" w14:textId="77777777" w:rsidR="007158F2" w:rsidRPr="00DB79C2" w:rsidRDefault="007158F2" w:rsidP="008E26E9">
            <w:pPr>
              <w:spacing w:after="160" w:line="278" w:lineRule="auto"/>
              <w:rPr>
                <w:b/>
                <w:bCs/>
                <w:sz w:val="28"/>
                <w:szCs w:val="28"/>
              </w:rPr>
            </w:pPr>
            <w:r>
              <w:rPr>
                <w:b/>
                <w:bCs/>
                <w:sz w:val="28"/>
                <w:szCs w:val="28"/>
              </w:rPr>
              <w:t xml:space="preserve">Manchester Metropolitan University </w:t>
            </w:r>
          </w:p>
          <w:p w14:paraId="13497CB8" w14:textId="77777777" w:rsidR="007158F2" w:rsidRDefault="007158F2" w:rsidP="008E26E9">
            <w:pPr>
              <w:rPr>
                <w:b/>
                <w:bCs/>
                <w:sz w:val="28"/>
                <w:szCs w:val="28"/>
              </w:rPr>
            </w:pPr>
            <w:r w:rsidRPr="00DB79C2">
              <w:rPr>
                <w:b/>
                <w:bCs/>
                <w:sz w:val="28"/>
                <w:szCs w:val="28"/>
              </w:rPr>
              <w:t>5-Year Gender Pay Gap Comparison Table</w:t>
            </w:r>
          </w:p>
          <w:p w14:paraId="05426AD3" w14:textId="77777777" w:rsidR="007158F2" w:rsidRDefault="007158F2" w:rsidP="008E26E9">
            <w:pPr>
              <w:rPr>
                <w:b/>
                <w:bCs/>
                <w:sz w:val="28"/>
                <w:szCs w:val="28"/>
              </w:rPr>
            </w:pPr>
          </w:p>
          <w:p w14:paraId="6008DB2B" w14:textId="77777777" w:rsidR="007158F2" w:rsidRPr="007102FF" w:rsidRDefault="007158F2" w:rsidP="008E26E9"/>
        </w:tc>
      </w:tr>
      <w:tr w:rsidR="007158F2" w:rsidRPr="00A33C39" w14:paraId="0A475539" w14:textId="77777777" w:rsidTr="008E26E9">
        <w:tblPrEx>
          <w:tblLook w:val="04A0" w:firstRow="1" w:lastRow="0" w:firstColumn="1" w:lastColumn="0" w:noHBand="0" w:noVBand="1"/>
        </w:tblPrEx>
        <w:tc>
          <w:tcPr>
            <w:tcW w:w="0" w:type="auto"/>
            <w:shd w:val="clear" w:color="auto" w:fill="4C94D8" w:themeFill="text2" w:themeFillTint="80"/>
            <w:hideMark/>
          </w:tcPr>
          <w:p w14:paraId="28D95982" w14:textId="77777777" w:rsidR="007158F2" w:rsidRPr="00A33C39" w:rsidRDefault="007158F2" w:rsidP="008E26E9">
            <w:pPr>
              <w:spacing w:after="160" w:line="278" w:lineRule="auto"/>
              <w:rPr>
                <w:b/>
                <w:bCs/>
              </w:rPr>
            </w:pPr>
            <w:r w:rsidRPr="00A33C39">
              <w:rPr>
                <w:b/>
                <w:bCs/>
              </w:rPr>
              <w:t>Reporting Year</w:t>
            </w:r>
          </w:p>
        </w:tc>
        <w:tc>
          <w:tcPr>
            <w:tcW w:w="0" w:type="auto"/>
            <w:shd w:val="clear" w:color="auto" w:fill="4C94D8" w:themeFill="text2" w:themeFillTint="80"/>
            <w:hideMark/>
          </w:tcPr>
          <w:p w14:paraId="354B9B4E" w14:textId="77777777" w:rsidR="007158F2" w:rsidRPr="00A33C39" w:rsidRDefault="007158F2" w:rsidP="008E26E9">
            <w:pPr>
              <w:spacing w:after="160" w:line="278" w:lineRule="auto"/>
              <w:rPr>
                <w:b/>
                <w:bCs/>
              </w:rPr>
            </w:pPr>
            <w:r w:rsidRPr="00A33C39">
              <w:rPr>
                <w:b/>
                <w:bCs/>
              </w:rPr>
              <w:t>Median Hourly Pay Gap (%)</w:t>
            </w:r>
          </w:p>
        </w:tc>
        <w:tc>
          <w:tcPr>
            <w:tcW w:w="0" w:type="auto"/>
            <w:shd w:val="clear" w:color="auto" w:fill="4C94D8" w:themeFill="text2" w:themeFillTint="80"/>
            <w:hideMark/>
          </w:tcPr>
          <w:p w14:paraId="3091D953" w14:textId="77777777" w:rsidR="007158F2" w:rsidRPr="00A33C39" w:rsidRDefault="007158F2" w:rsidP="008E26E9">
            <w:pPr>
              <w:spacing w:after="160" w:line="278" w:lineRule="auto"/>
              <w:rPr>
                <w:b/>
                <w:bCs/>
              </w:rPr>
            </w:pPr>
            <w:r w:rsidRPr="00A33C39">
              <w:rPr>
                <w:b/>
                <w:bCs/>
              </w:rPr>
              <w:t>Mean Hourly Pay Gap (%)</w:t>
            </w:r>
          </w:p>
        </w:tc>
        <w:tc>
          <w:tcPr>
            <w:tcW w:w="0" w:type="auto"/>
            <w:shd w:val="clear" w:color="auto" w:fill="4C94D8" w:themeFill="text2" w:themeFillTint="80"/>
            <w:hideMark/>
          </w:tcPr>
          <w:p w14:paraId="664B24C2" w14:textId="77777777" w:rsidR="007158F2" w:rsidRPr="00A33C39" w:rsidRDefault="007158F2" w:rsidP="008E26E9">
            <w:pPr>
              <w:spacing w:after="160" w:line="278" w:lineRule="auto"/>
              <w:rPr>
                <w:b/>
                <w:bCs/>
              </w:rPr>
            </w:pPr>
            <w:r w:rsidRPr="00A33C39">
              <w:rPr>
                <w:b/>
                <w:bCs/>
              </w:rPr>
              <w:t>Median Bonus Pay Gap (%)</w:t>
            </w:r>
          </w:p>
        </w:tc>
        <w:tc>
          <w:tcPr>
            <w:tcW w:w="0" w:type="auto"/>
            <w:shd w:val="clear" w:color="auto" w:fill="4C94D8" w:themeFill="text2" w:themeFillTint="80"/>
            <w:hideMark/>
          </w:tcPr>
          <w:p w14:paraId="6BCE1DFC" w14:textId="77777777" w:rsidR="007158F2" w:rsidRPr="00A33C39" w:rsidRDefault="007158F2" w:rsidP="008E26E9">
            <w:pPr>
              <w:spacing w:after="160" w:line="278" w:lineRule="auto"/>
              <w:rPr>
                <w:b/>
                <w:bCs/>
              </w:rPr>
            </w:pPr>
            <w:r w:rsidRPr="00A33C39">
              <w:rPr>
                <w:b/>
                <w:bCs/>
              </w:rPr>
              <w:t>Mean Bonus Pay Gap (%)</w:t>
            </w:r>
          </w:p>
        </w:tc>
        <w:tc>
          <w:tcPr>
            <w:tcW w:w="0" w:type="auto"/>
            <w:shd w:val="clear" w:color="auto" w:fill="4C94D8" w:themeFill="text2" w:themeFillTint="80"/>
            <w:hideMark/>
          </w:tcPr>
          <w:p w14:paraId="5D6141E2" w14:textId="77777777" w:rsidR="007158F2" w:rsidRPr="00A33C39" w:rsidRDefault="007158F2" w:rsidP="008E26E9">
            <w:pPr>
              <w:spacing w:after="160" w:line="278" w:lineRule="auto"/>
              <w:rPr>
                <w:b/>
                <w:bCs/>
              </w:rPr>
            </w:pPr>
            <w:r w:rsidRPr="00A33C39">
              <w:rPr>
                <w:b/>
                <w:bCs/>
              </w:rPr>
              <w:t>Women in Highest Pay Quartile (%)</w:t>
            </w:r>
          </w:p>
        </w:tc>
        <w:tc>
          <w:tcPr>
            <w:tcW w:w="0" w:type="auto"/>
            <w:shd w:val="clear" w:color="auto" w:fill="4C94D8" w:themeFill="text2" w:themeFillTint="80"/>
            <w:hideMark/>
          </w:tcPr>
          <w:p w14:paraId="77296652" w14:textId="77777777" w:rsidR="007158F2" w:rsidRPr="00A33C39" w:rsidRDefault="007158F2" w:rsidP="008E26E9">
            <w:pPr>
              <w:spacing w:after="160" w:line="278" w:lineRule="auto"/>
              <w:rPr>
                <w:b/>
                <w:bCs/>
              </w:rPr>
            </w:pPr>
            <w:r w:rsidRPr="00A33C39">
              <w:rPr>
                <w:b/>
                <w:bCs/>
              </w:rPr>
              <w:t>Women in Lowest Pay Quartile (%)</w:t>
            </w:r>
          </w:p>
        </w:tc>
      </w:tr>
      <w:tr w:rsidR="007158F2" w:rsidRPr="00A33C39" w14:paraId="11F4144F" w14:textId="77777777" w:rsidTr="008E26E9">
        <w:tblPrEx>
          <w:tblLook w:val="04A0" w:firstRow="1" w:lastRow="0" w:firstColumn="1" w:lastColumn="0" w:noHBand="0" w:noVBand="1"/>
        </w:tblPrEx>
        <w:tc>
          <w:tcPr>
            <w:tcW w:w="0" w:type="auto"/>
            <w:shd w:val="clear" w:color="auto" w:fill="A5C9EB" w:themeFill="text2" w:themeFillTint="40"/>
            <w:hideMark/>
          </w:tcPr>
          <w:p w14:paraId="6D9D21E1" w14:textId="77777777" w:rsidR="007158F2" w:rsidRPr="00A33C39" w:rsidRDefault="007158F2" w:rsidP="008E26E9">
            <w:pPr>
              <w:spacing w:after="160" w:line="278" w:lineRule="auto"/>
            </w:pPr>
            <w:r w:rsidRPr="00A33C39">
              <w:rPr>
                <w:b/>
                <w:bCs/>
              </w:rPr>
              <w:t>2020–21</w:t>
            </w:r>
          </w:p>
        </w:tc>
        <w:tc>
          <w:tcPr>
            <w:tcW w:w="0" w:type="auto"/>
            <w:shd w:val="clear" w:color="auto" w:fill="A5C9EB" w:themeFill="text2" w:themeFillTint="40"/>
            <w:hideMark/>
          </w:tcPr>
          <w:p w14:paraId="40299B17" w14:textId="77777777" w:rsidR="007158F2" w:rsidRPr="00A33C39" w:rsidRDefault="007158F2" w:rsidP="008E26E9">
            <w:pPr>
              <w:spacing w:after="160" w:line="278" w:lineRule="auto"/>
            </w:pPr>
            <w:r w:rsidRPr="00A33C39">
              <w:t>2.6%</w:t>
            </w:r>
          </w:p>
        </w:tc>
        <w:tc>
          <w:tcPr>
            <w:tcW w:w="0" w:type="auto"/>
            <w:shd w:val="clear" w:color="auto" w:fill="A5C9EB" w:themeFill="text2" w:themeFillTint="40"/>
            <w:hideMark/>
          </w:tcPr>
          <w:p w14:paraId="172F9FFE" w14:textId="77777777" w:rsidR="007158F2" w:rsidRPr="00A33C39" w:rsidRDefault="007158F2" w:rsidP="008E26E9">
            <w:pPr>
              <w:spacing w:after="160" w:line="278" w:lineRule="auto"/>
            </w:pPr>
            <w:r w:rsidRPr="00A33C39">
              <w:t>5.0%</w:t>
            </w:r>
          </w:p>
        </w:tc>
        <w:tc>
          <w:tcPr>
            <w:tcW w:w="0" w:type="auto"/>
            <w:shd w:val="clear" w:color="auto" w:fill="A5C9EB" w:themeFill="text2" w:themeFillTint="40"/>
            <w:hideMark/>
          </w:tcPr>
          <w:p w14:paraId="19199690" w14:textId="77777777" w:rsidR="007158F2" w:rsidRPr="00A33C39" w:rsidRDefault="007158F2" w:rsidP="008E26E9">
            <w:pPr>
              <w:spacing w:after="160" w:line="278" w:lineRule="auto"/>
            </w:pPr>
            <w:r w:rsidRPr="00A33C39">
              <w:t>0.0%</w:t>
            </w:r>
          </w:p>
        </w:tc>
        <w:tc>
          <w:tcPr>
            <w:tcW w:w="0" w:type="auto"/>
            <w:shd w:val="clear" w:color="auto" w:fill="A5C9EB" w:themeFill="text2" w:themeFillTint="40"/>
            <w:hideMark/>
          </w:tcPr>
          <w:p w14:paraId="05B1CA23" w14:textId="77777777" w:rsidR="007158F2" w:rsidRPr="00A33C39" w:rsidRDefault="007158F2" w:rsidP="008E26E9">
            <w:pPr>
              <w:spacing w:after="160" w:line="278" w:lineRule="auto"/>
            </w:pPr>
            <w:r w:rsidRPr="00A33C39">
              <w:t>0.0%</w:t>
            </w:r>
          </w:p>
        </w:tc>
        <w:tc>
          <w:tcPr>
            <w:tcW w:w="0" w:type="auto"/>
            <w:shd w:val="clear" w:color="auto" w:fill="A5C9EB" w:themeFill="text2" w:themeFillTint="40"/>
            <w:hideMark/>
          </w:tcPr>
          <w:p w14:paraId="10A4608F" w14:textId="77777777" w:rsidR="007158F2" w:rsidRPr="00A33C39" w:rsidRDefault="007158F2" w:rsidP="008E26E9">
            <w:pPr>
              <w:spacing w:after="160" w:line="278" w:lineRule="auto"/>
            </w:pPr>
            <w:r w:rsidRPr="00A33C39">
              <w:t>51.0%</w:t>
            </w:r>
          </w:p>
        </w:tc>
        <w:tc>
          <w:tcPr>
            <w:tcW w:w="0" w:type="auto"/>
            <w:shd w:val="clear" w:color="auto" w:fill="A5C9EB" w:themeFill="text2" w:themeFillTint="40"/>
            <w:hideMark/>
          </w:tcPr>
          <w:p w14:paraId="0D18F823" w14:textId="77777777" w:rsidR="007158F2" w:rsidRPr="00A33C39" w:rsidRDefault="007158F2" w:rsidP="008E26E9">
            <w:pPr>
              <w:spacing w:after="160" w:line="278" w:lineRule="auto"/>
            </w:pPr>
            <w:r w:rsidRPr="00A33C39">
              <w:t>59.0%</w:t>
            </w:r>
          </w:p>
        </w:tc>
      </w:tr>
      <w:tr w:rsidR="007158F2" w:rsidRPr="00A33C39" w14:paraId="626B1DD6" w14:textId="77777777" w:rsidTr="008E26E9">
        <w:tblPrEx>
          <w:tblLook w:val="04A0" w:firstRow="1" w:lastRow="0" w:firstColumn="1" w:lastColumn="0" w:noHBand="0" w:noVBand="1"/>
        </w:tblPrEx>
        <w:tc>
          <w:tcPr>
            <w:tcW w:w="0" w:type="auto"/>
            <w:shd w:val="clear" w:color="auto" w:fill="A5C9EB" w:themeFill="text2" w:themeFillTint="40"/>
            <w:hideMark/>
          </w:tcPr>
          <w:p w14:paraId="5BBBDA03" w14:textId="77777777" w:rsidR="007158F2" w:rsidRPr="00A33C39" w:rsidRDefault="007158F2" w:rsidP="008E26E9">
            <w:pPr>
              <w:spacing w:after="160" w:line="278" w:lineRule="auto"/>
            </w:pPr>
            <w:r w:rsidRPr="00A33C39">
              <w:rPr>
                <w:b/>
                <w:bCs/>
              </w:rPr>
              <w:lastRenderedPageBreak/>
              <w:t>2021–22</w:t>
            </w:r>
          </w:p>
        </w:tc>
        <w:tc>
          <w:tcPr>
            <w:tcW w:w="0" w:type="auto"/>
            <w:shd w:val="clear" w:color="auto" w:fill="A5C9EB" w:themeFill="text2" w:themeFillTint="40"/>
            <w:hideMark/>
          </w:tcPr>
          <w:p w14:paraId="50A79196" w14:textId="77777777" w:rsidR="007158F2" w:rsidRPr="00A33C39" w:rsidRDefault="007158F2" w:rsidP="008E26E9">
            <w:pPr>
              <w:spacing w:after="160" w:line="278" w:lineRule="auto"/>
            </w:pPr>
            <w:r w:rsidRPr="00A33C39">
              <w:t>3.2%</w:t>
            </w:r>
          </w:p>
        </w:tc>
        <w:tc>
          <w:tcPr>
            <w:tcW w:w="0" w:type="auto"/>
            <w:shd w:val="clear" w:color="auto" w:fill="A5C9EB" w:themeFill="text2" w:themeFillTint="40"/>
            <w:hideMark/>
          </w:tcPr>
          <w:p w14:paraId="478901EE" w14:textId="77777777" w:rsidR="007158F2" w:rsidRPr="00A33C39" w:rsidRDefault="007158F2" w:rsidP="008E26E9">
            <w:pPr>
              <w:spacing w:after="160" w:line="278" w:lineRule="auto"/>
            </w:pPr>
            <w:r w:rsidRPr="00A33C39">
              <w:t>6.4%</w:t>
            </w:r>
          </w:p>
        </w:tc>
        <w:tc>
          <w:tcPr>
            <w:tcW w:w="0" w:type="auto"/>
            <w:shd w:val="clear" w:color="auto" w:fill="A5C9EB" w:themeFill="text2" w:themeFillTint="40"/>
            <w:hideMark/>
          </w:tcPr>
          <w:p w14:paraId="6E1BEA83" w14:textId="77777777" w:rsidR="007158F2" w:rsidRPr="00A33C39" w:rsidRDefault="007158F2" w:rsidP="008E26E9">
            <w:pPr>
              <w:spacing w:after="160" w:line="278" w:lineRule="auto"/>
            </w:pPr>
            <w:r w:rsidRPr="00A33C39">
              <w:t>16.0%</w:t>
            </w:r>
          </w:p>
        </w:tc>
        <w:tc>
          <w:tcPr>
            <w:tcW w:w="0" w:type="auto"/>
            <w:shd w:val="clear" w:color="auto" w:fill="A5C9EB" w:themeFill="text2" w:themeFillTint="40"/>
            <w:hideMark/>
          </w:tcPr>
          <w:p w14:paraId="4000A8BD" w14:textId="77777777" w:rsidR="007158F2" w:rsidRPr="00A33C39" w:rsidRDefault="007158F2" w:rsidP="008E26E9">
            <w:pPr>
              <w:spacing w:after="160" w:line="278" w:lineRule="auto"/>
            </w:pPr>
            <w:r w:rsidRPr="00A33C39">
              <w:t>17.0%</w:t>
            </w:r>
          </w:p>
        </w:tc>
        <w:tc>
          <w:tcPr>
            <w:tcW w:w="0" w:type="auto"/>
            <w:shd w:val="clear" w:color="auto" w:fill="A5C9EB" w:themeFill="text2" w:themeFillTint="40"/>
            <w:hideMark/>
          </w:tcPr>
          <w:p w14:paraId="74562BF4" w14:textId="77777777" w:rsidR="007158F2" w:rsidRPr="00A33C39" w:rsidRDefault="007158F2" w:rsidP="008E26E9">
            <w:pPr>
              <w:spacing w:after="160" w:line="278" w:lineRule="auto"/>
            </w:pPr>
            <w:r w:rsidRPr="00A33C39">
              <w:t>48.8%</w:t>
            </w:r>
          </w:p>
        </w:tc>
        <w:tc>
          <w:tcPr>
            <w:tcW w:w="0" w:type="auto"/>
            <w:shd w:val="clear" w:color="auto" w:fill="A5C9EB" w:themeFill="text2" w:themeFillTint="40"/>
            <w:hideMark/>
          </w:tcPr>
          <w:p w14:paraId="28E132EB" w14:textId="77777777" w:rsidR="007158F2" w:rsidRPr="00A33C39" w:rsidRDefault="007158F2" w:rsidP="008E26E9">
            <w:pPr>
              <w:spacing w:after="160" w:line="278" w:lineRule="auto"/>
            </w:pPr>
            <w:r w:rsidRPr="00A33C39">
              <w:t>60.0%</w:t>
            </w:r>
          </w:p>
        </w:tc>
      </w:tr>
      <w:tr w:rsidR="007158F2" w:rsidRPr="00A33C39" w14:paraId="1EF6B0A4" w14:textId="77777777" w:rsidTr="008E26E9">
        <w:tblPrEx>
          <w:tblLook w:val="04A0" w:firstRow="1" w:lastRow="0" w:firstColumn="1" w:lastColumn="0" w:noHBand="0" w:noVBand="1"/>
        </w:tblPrEx>
        <w:tc>
          <w:tcPr>
            <w:tcW w:w="0" w:type="auto"/>
            <w:shd w:val="clear" w:color="auto" w:fill="A5C9EB" w:themeFill="text2" w:themeFillTint="40"/>
            <w:hideMark/>
          </w:tcPr>
          <w:p w14:paraId="42648AFC" w14:textId="77777777" w:rsidR="007158F2" w:rsidRPr="00A33C39" w:rsidRDefault="007158F2" w:rsidP="008E26E9">
            <w:pPr>
              <w:spacing w:after="160" w:line="278" w:lineRule="auto"/>
            </w:pPr>
            <w:r w:rsidRPr="00A33C39">
              <w:rPr>
                <w:b/>
                <w:bCs/>
              </w:rPr>
              <w:t>2022–23</w:t>
            </w:r>
          </w:p>
        </w:tc>
        <w:tc>
          <w:tcPr>
            <w:tcW w:w="0" w:type="auto"/>
            <w:shd w:val="clear" w:color="auto" w:fill="A5C9EB" w:themeFill="text2" w:themeFillTint="40"/>
            <w:hideMark/>
          </w:tcPr>
          <w:p w14:paraId="2634C322" w14:textId="77777777" w:rsidR="007158F2" w:rsidRPr="00A33C39" w:rsidRDefault="007158F2" w:rsidP="008E26E9">
            <w:pPr>
              <w:spacing w:after="160" w:line="278" w:lineRule="auto"/>
            </w:pPr>
            <w:r w:rsidRPr="00A33C39">
              <w:t>4.5%</w:t>
            </w:r>
          </w:p>
        </w:tc>
        <w:tc>
          <w:tcPr>
            <w:tcW w:w="0" w:type="auto"/>
            <w:shd w:val="clear" w:color="auto" w:fill="A5C9EB" w:themeFill="text2" w:themeFillTint="40"/>
            <w:hideMark/>
          </w:tcPr>
          <w:p w14:paraId="512EC42B" w14:textId="77777777" w:rsidR="007158F2" w:rsidRPr="00A33C39" w:rsidRDefault="007158F2" w:rsidP="008E26E9">
            <w:pPr>
              <w:spacing w:after="160" w:line="278" w:lineRule="auto"/>
            </w:pPr>
            <w:r w:rsidRPr="00A33C39">
              <w:t>5.2%</w:t>
            </w:r>
          </w:p>
        </w:tc>
        <w:tc>
          <w:tcPr>
            <w:tcW w:w="0" w:type="auto"/>
            <w:shd w:val="clear" w:color="auto" w:fill="A5C9EB" w:themeFill="text2" w:themeFillTint="40"/>
            <w:hideMark/>
          </w:tcPr>
          <w:p w14:paraId="0A289724" w14:textId="77777777" w:rsidR="007158F2" w:rsidRPr="00A33C39" w:rsidRDefault="007158F2" w:rsidP="008E26E9">
            <w:pPr>
              <w:spacing w:after="160" w:line="278" w:lineRule="auto"/>
            </w:pPr>
            <w:r w:rsidRPr="00A33C39">
              <w:t>17.0%</w:t>
            </w:r>
          </w:p>
        </w:tc>
        <w:tc>
          <w:tcPr>
            <w:tcW w:w="0" w:type="auto"/>
            <w:shd w:val="clear" w:color="auto" w:fill="A5C9EB" w:themeFill="text2" w:themeFillTint="40"/>
            <w:hideMark/>
          </w:tcPr>
          <w:p w14:paraId="523AFAAC" w14:textId="77777777" w:rsidR="007158F2" w:rsidRPr="00A33C39" w:rsidRDefault="007158F2" w:rsidP="008E26E9">
            <w:pPr>
              <w:spacing w:after="160" w:line="278" w:lineRule="auto"/>
            </w:pPr>
            <w:r w:rsidRPr="00A33C39">
              <w:t>25.0%</w:t>
            </w:r>
          </w:p>
        </w:tc>
        <w:tc>
          <w:tcPr>
            <w:tcW w:w="0" w:type="auto"/>
            <w:shd w:val="clear" w:color="auto" w:fill="A5C9EB" w:themeFill="text2" w:themeFillTint="40"/>
            <w:hideMark/>
          </w:tcPr>
          <w:p w14:paraId="3BAF73F9" w14:textId="77777777" w:rsidR="007158F2" w:rsidRPr="00A33C39" w:rsidRDefault="007158F2" w:rsidP="008E26E9">
            <w:pPr>
              <w:spacing w:after="160" w:line="278" w:lineRule="auto"/>
            </w:pPr>
            <w:r w:rsidRPr="00A33C39">
              <w:t>50.3%</w:t>
            </w:r>
          </w:p>
        </w:tc>
        <w:tc>
          <w:tcPr>
            <w:tcW w:w="0" w:type="auto"/>
            <w:shd w:val="clear" w:color="auto" w:fill="A5C9EB" w:themeFill="text2" w:themeFillTint="40"/>
            <w:hideMark/>
          </w:tcPr>
          <w:p w14:paraId="5500E8FA" w14:textId="77777777" w:rsidR="007158F2" w:rsidRPr="00A33C39" w:rsidRDefault="007158F2" w:rsidP="008E26E9">
            <w:pPr>
              <w:spacing w:after="160" w:line="278" w:lineRule="auto"/>
            </w:pPr>
            <w:r w:rsidRPr="00A33C39">
              <w:t>57.5%</w:t>
            </w:r>
          </w:p>
        </w:tc>
      </w:tr>
      <w:tr w:rsidR="007158F2" w:rsidRPr="00A33C39" w14:paraId="3E35E0EC" w14:textId="77777777" w:rsidTr="008E26E9">
        <w:tblPrEx>
          <w:tblLook w:val="04A0" w:firstRow="1" w:lastRow="0" w:firstColumn="1" w:lastColumn="0" w:noHBand="0" w:noVBand="1"/>
        </w:tblPrEx>
        <w:tc>
          <w:tcPr>
            <w:tcW w:w="0" w:type="auto"/>
            <w:shd w:val="clear" w:color="auto" w:fill="A5C9EB" w:themeFill="text2" w:themeFillTint="40"/>
            <w:hideMark/>
          </w:tcPr>
          <w:p w14:paraId="78E333AE" w14:textId="77777777" w:rsidR="007158F2" w:rsidRPr="00A33C39" w:rsidRDefault="007158F2" w:rsidP="008E26E9">
            <w:pPr>
              <w:spacing w:after="160" w:line="278" w:lineRule="auto"/>
            </w:pPr>
            <w:r w:rsidRPr="00A33C39">
              <w:rPr>
                <w:b/>
                <w:bCs/>
              </w:rPr>
              <w:t>2023–24</w:t>
            </w:r>
          </w:p>
        </w:tc>
        <w:tc>
          <w:tcPr>
            <w:tcW w:w="0" w:type="auto"/>
            <w:shd w:val="clear" w:color="auto" w:fill="A5C9EB" w:themeFill="text2" w:themeFillTint="40"/>
            <w:hideMark/>
          </w:tcPr>
          <w:p w14:paraId="3F428B94" w14:textId="77777777" w:rsidR="007158F2" w:rsidRPr="00A33C39" w:rsidRDefault="007158F2" w:rsidP="008E26E9">
            <w:pPr>
              <w:spacing w:after="160" w:line="278" w:lineRule="auto"/>
            </w:pPr>
            <w:r w:rsidRPr="00A33C39">
              <w:t>8.3%</w:t>
            </w:r>
          </w:p>
        </w:tc>
        <w:tc>
          <w:tcPr>
            <w:tcW w:w="0" w:type="auto"/>
            <w:shd w:val="clear" w:color="auto" w:fill="A5C9EB" w:themeFill="text2" w:themeFillTint="40"/>
            <w:hideMark/>
          </w:tcPr>
          <w:p w14:paraId="76F17FDC" w14:textId="77777777" w:rsidR="007158F2" w:rsidRPr="00A33C39" w:rsidRDefault="007158F2" w:rsidP="008E26E9">
            <w:pPr>
              <w:spacing w:after="160" w:line="278" w:lineRule="auto"/>
            </w:pPr>
            <w:r w:rsidRPr="00A33C39">
              <w:t>5.3%</w:t>
            </w:r>
          </w:p>
        </w:tc>
        <w:tc>
          <w:tcPr>
            <w:tcW w:w="0" w:type="auto"/>
            <w:shd w:val="clear" w:color="auto" w:fill="A5C9EB" w:themeFill="text2" w:themeFillTint="40"/>
            <w:hideMark/>
          </w:tcPr>
          <w:p w14:paraId="29C3059F" w14:textId="77777777" w:rsidR="007158F2" w:rsidRPr="00A33C39" w:rsidRDefault="007158F2" w:rsidP="008E26E9">
            <w:pPr>
              <w:spacing w:after="160" w:line="278" w:lineRule="auto"/>
            </w:pPr>
            <w:r w:rsidRPr="00A33C39">
              <w:t>0.0%</w:t>
            </w:r>
          </w:p>
        </w:tc>
        <w:tc>
          <w:tcPr>
            <w:tcW w:w="0" w:type="auto"/>
            <w:shd w:val="clear" w:color="auto" w:fill="A5C9EB" w:themeFill="text2" w:themeFillTint="40"/>
            <w:hideMark/>
          </w:tcPr>
          <w:p w14:paraId="39BB716A" w14:textId="77777777" w:rsidR="007158F2" w:rsidRPr="00A33C39" w:rsidRDefault="007158F2" w:rsidP="008E26E9">
            <w:pPr>
              <w:spacing w:after="160" w:line="278" w:lineRule="auto"/>
            </w:pPr>
            <w:r w:rsidRPr="00A33C39">
              <w:t>31.0%</w:t>
            </w:r>
          </w:p>
        </w:tc>
        <w:tc>
          <w:tcPr>
            <w:tcW w:w="0" w:type="auto"/>
            <w:shd w:val="clear" w:color="auto" w:fill="A5C9EB" w:themeFill="text2" w:themeFillTint="40"/>
            <w:hideMark/>
          </w:tcPr>
          <w:p w14:paraId="66FAC260" w14:textId="77777777" w:rsidR="007158F2" w:rsidRPr="00A33C39" w:rsidRDefault="007158F2" w:rsidP="008E26E9">
            <w:pPr>
              <w:spacing w:after="160" w:line="278" w:lineRule="auto"/>
            </w:pPr>
            <w:r w:rsidRPr="00A33C39">
              <w:t>51.0%</w:t>
            </w:r>
          </w:p>
        </w:tc>
        <w:tc>
          <w:tcPr>
            <w:tcW w:w="0" w:type="auto"/>
            <w:shd w:val="clear" w:color="auto" w:fill="A5C9EB" w:themeFill="text2" w:themeFillTint="40"/>
            <w:hideMark/>
          </w:tcPr>
          <w:p w14:paraId="3CFFD908" w14:textId="77777777" w:rsidR="007158F2" w:rsidRPr="00A33C39" w:rsidRDefault="007158F2" w:rsidP="008E26E9">
            <w:pPr>
              <w:spacing w:after="160" w:line="278" w:lineRule="auto"/>
            </w:pPr>
            <w:r w:rsidRPr="00A33C39">
              <w:t>58.8%</w:t>
            </w:r>
          </w:p>
        </w:tc>
      </w:tr>
      <w:tr w:rsidR="007158F2" w:rsidRPr="00A33C39" w14:paraId="14D005C6" w14:textId="77777777" w:rsidTr="008E26E9">
        <w:tblPrEx>
          <w:tblLook w:val="04A0" w:firstRow="1" w:lastRow="0" w:firstColumn="1" w:lastColumn="0" w:noHBand="0" w:noVBand="1"/>
        </w:tblPrEx>
        <w:tc>
          <w:tcPr>
            <w:tcW w:w="0" w:type="auto"/>
            <w:shd w:val="clear" w:color="auto" w:fill="A5C9EB" w:themeFill="text2" w:themeFillTint="40"/>
            <w:hideMark/>
          </w:tcPr>
          <w:p w14:paraId="34028F7B" w14:textId="77777777" w:rsidR="007158F2" w:rsidRPr="00A33C39" w:rsidRDefault="007158F2" w:rsidP="008E26E9">
            <w:pPr>
              <w:spacing w:after="160" w:line="278" w:lineRule="auto"/>
            </w:pPr>
            <w:r w:rsidRPr="00A33C39">
              <w:rPr>
                <w:b/>
                <w:bCs/>
              </w:rPr>
              <w:t>2024–25</w:t>
            </w:r>
          </w:p>
        </w:tc>
        <w:tc>
          <w:tcPr>
            <w:tcW w:w="0" w:type="auto"/>
            <w:shd w:val="clear" w:color="auto" w:fill="A5C9EB" w:themeFill="text2" w:themeFillTint="40"/>
            <w:hideMark/>
          </w:tcPr>
          <w:p w14:paraId="6147420A" w14:textId="77777777" w:rsidR="007158F2" w:rsidRPr="00A33C39" w:rsidRDefault="007158F2" w:rsidP="008E26E9">
            <w:pPr>
              <w:spacing w:after="160" w:line="278" w:lineRule="auto"/>
            </w:pPr>
            <w:r w:rsidRPr="00A33C39">
              <w:t>8.5%</w:t>
            </w:r>
          </w:p>
        </w:tc>
        <w:tc>
          <w:tcPr>
            <w:tcW w:w="0" w:type="auto"/>
            <w:shd w:val="clear" w:color="auto" w:fill="A5C9EB" w:themeFill="text2" w:themeFillTint="40"/>
            <w:hideMark/>
          </w:tcPr>
          <w:p w14:paraId="05BD6A1B" w14:textId="77777777" w:rsidR="007158F2" w:rsidRPr="00A33C39" w:rsidRDefault="007158F2" w:rsidP="008E26E9">
            <w:pPr>
              <w:spacing w:after="160" w:line="278" w:lineRule="auto"/>
            </w:pPr>
            <w:r w:rsidRPr="00A33C39">
              <w:t>7.5%</w:t>
            </w:r>
          </w:p>
        </w:tc>
        <w:tc>
          <w:tcPr>
            <w:tcW w:w="0" w:type="auto"/>
            <w:shd w:val="clear" w:color="auto" w:fill="A5C9EB" w:themeFill="text2" w:themeFillTint="40"/>
            <w:hideMark/>
          </w:tcPr>
          <w:p w14:paraId="4E9C3392" w14:textId="77777777" w:rsidR="007158F2" w:rsidRPr="00A33C39" w:rsidRDefault="007158F2" w:rsidP="008E26E9">
            <w:pPr>
              <w:spacing w:after="160" w:line="278" w:lineRule="auto"/>
            </w:pPr>
            <w:r w:rsidRPr="00A33C39">
              <w:t>0.0%</w:t>
            </w:r>
          </w:p>
        </w:tc>
        <w:tc>
          <w:tcPr>
            <w:tcW w:w="0" w:type="auto"/>
            <w:shd w:val="clear" w:color="auto" w:fill="A5C9EB" w:themeFill="text2" w:themeFillTint="40"/>
            <w:hideMark/>
          </w:tcPr>
          <w:p w14:paraId="597356DB" w14:textId="77777777" w:rsidR="007158F2" w:rsidRPr="00A33C39" w:rsidRDefault="007158F2" w:rsidP="008E26E9">
            <w:pPr>
              <w:spacing w:after="160" w:line="278" w:lineRule="auto"/>
            </w:pPr>
            <w:r w:rsidRPr="00A33C39">
              <w:t>25.9%</w:t>
            </w:r>
          </w:p>
        </w:tc>
        <w:tc>
          <w:tcPr>
            <w:tcW w:w="0" w:type="auto"/>
            <w:shd w:val="clear" w:color="auto" w:fill="A5C9EB" w:themeFill="text2" w:themeFillTint="40"/>
            <w:hideMark/>
          </w:tcPr>
          <w:p w14:paraId="38D80233" w14:textId="77777777" w:rsidR="007158F2" w:rsidRPr="00A33C39" w:rsidRDefault="007158F2" w:rsidP="008E26E9">
            <w:pPr>
              <w:spacing w:after="160" w:line="278" w:lineRule="auto"/>
            </w:pPr>
            <w:r w:rsidRPr="00A33C39">
              <w:t>48.9%</w:t>
            </w:r>
          </w:p>
        </w:tc>
        <w:tc>
          <w:tcPr>
            <w:tcW w:w="0" w:type="auto"/>
            <w:shd w:val="clear" w:color="auto" w:fill="A5C9EB" w:themeFill="text2" w:themeFillTint="40"/>
            <w:hideMark/>
          </w:tcPr>
          <w:p w14:paraId="51D934EB" w14:textId="77777777" w:rsidR="007158F2" w:rsidRPr="00A33C39" w:rsidRDefault="007158F2" w:rsidP="008E26E9">
            <w:pPr>
              <w:spacing w:after="160" w:line="278" w:lineRule="auto"/>
            </w:pPr>
            <w:r w:rsidRPr="00A33C39">
              <w:t>61.0%</w:t>
            </w:r>
          </w:p>
        </w:tc>
      </w:tr>
    </w:tbl>
    <w:p w14:paraId="0B7A2DB6" w14:textId="77777777" w:rsidR="007158F2" w:rsidRDefault="007158F2" w:rsidP="007158F2"/>
    <w:p w14:paraId="028DF48F" w14:textId="77777777" w:rsidR="007158F2" w:rsidRDefault="007158F2" w:rsidP="007158F2"/>
    <w:p w14:paraId="01451B56" w14:textId="77777777" w:rsidR="007158F2" w:rsidRDefault="007158F2" w:rsidP="007158F2"/>
    <w:p w14:paraId="6AC6400C" w14:textId="77777777" w:rsidR="007158F2" w:rsidRDefault="007158F2" w:rsidP="007158F2"/>
    <w:p w14:paraId="1190C612" w14:textId="77777777" w:rsidR="007158F2" w:rsidRDefault="007158F2" w:rsidP="007158F2"/>
    <w:p w14:paraId="1F6691D8" w14:textId="77777777" w:rsidR="007158F2" w:rsidRDefault="007158F2" w:rsidP="007158F2"/>
    <w:p w14:paraId="3C154B4B" w14:textId="77777777" w:rsidR="007158F2" w:rsidRDefault="007158F2" w:rsidP="007158F2"/>
    <w:p w14:paraId="5D2C7FE0" w14:textId="77777777" w:rsidR="007158F2" w:rsidRDefault="007158F2" w:rsidP="007158F2"/>
    <w:p w14:paraId="21E86142" w14:textId="77777777" w:rsidR="007158F2" w:rsidRDefault="007158F2" w:rsidP="007158F2"/>
    <w:p w14:paraId="5CBCA191" w14:textId="77777777" w:rsidR="007158F2" w:rsidRDefault="007158F2" w:rsidP="007158F2"/>
    <w:p w14:paraId="4D96A47C" w14:textId="77777777" w:rsidR="007158F2" w:rsidRDefault="007158F2" w:rsidP="007158F2"/>
    <w:p w14:paraId="1C2668B6" w14:textId="77777777" w:rsidR="007158F2" w:rsidRDefault="007158F2" w:rsidP="007158F2"/>
    <w:p w14:paraId="76D91B81" w14:textId="77777777" w:rsidR="007158F2" w:rsidRDefault="007158F2" w:rsidP="007158F2"/>
    <w:p w14:paraId="013EAD03" w14:textId="77777777" w:rsidR="007158F2" w:rsidRDefault="007158F2" w:rsidP="007158F2"/>
    <w:p w14:paraId="35FDA087" w14:textId="77777777" w:rsidR="007158F2" w:rsidRDefault="007158F2" w:rsidP="007158F2"/>
    <w:p w14:paraId="5F17DA2E" w14:textId="77777777" w:rsidR="007158F2" w:rsidRDefault="007158F2" w:rsidP="007158F2"/>
    <w:p w14:paraId="504FC7CB" w14:textId="77777777" w:rsidR="007158F2" w:rsidRDefault="007158F2" w:rsidP="007158F2"/>
    <w:p w14:paraId="530F4304" w14:textId="77777777" w:rsidR="007158F2" w:rsidRDefault="007158F2" w:rsidP="007158F2"/>
    <w:p w14:paraId="6A6AA3C8" w14:textId="77777777" w:rsidR="007158F2" w:rsidRDefault="007158F2" w:rsidP="007158F2"/>
    <w:p w14:paraId="3CC81DD5" w14:textId="77777777" w:rsidR="007158F2" w:rsidRDefault="007158F2" w:rsidP="007158F2"/>
    <w:p w14:paraId="36CB86C9" w14:textId="77777777" w:rsidR="007158F2" w:rsidRDefault="007158F2" w:rsidP="007158F2"/>
    <w:p w14:paraId="1D9EA8B9" w14:textId="77777777" w:rsidR="007158F2" w:rsidRDefault="007158F2" w:rsidP="007158F2"/>
    <w:p w14:paraId="381E6537" w14:textId="77777777" w:rsidR="007158F2" w:rsidRDefault="007158F2" w:rsidP="007158F2"/>
    <w:p w14:paraId="6F1E0CEA" w14:textId="77777777" w:rsidR="007158F2" w:rsidRDefault="007158F2" w:rsidP="007158F2"/>
    <w:p w14:paraId="3F22A4C3" w14:textId="77777777" w:rsidR="007158F2" w:rsidRDefault="007158F2" w:rsidP="007158F2"/>
    <w:p w14:paraId="3B61DBDD" w14:textId="77777777" w:rsidR="007158F2" w:rsidRDefault="007158F2" w:rsidP="007158F2"/>
    <w:p w14:paraId="69385C1B" w14:textId="77777777" w:rsidR="007158F2" w:rsidRDefault="007158F2" w:rsidP="007158F2"/>
    <w:p w14:paraId="32327278" w14:textId="77777777" w:rsidR="007158F2" w:rsidRPr="00985C38" w:rsidRDefault="007158F2" w:rsidP="007158F2">
      <w:pPr>
        <w:rPr>
          <w:b/>
          <w:bCs/>
          <w:sz w:val="24"/>
          <w:szCs w:val="24"/>
        </w:rPr>
      </w:pPr>
      <w:r w:rsidRPr="00985C38">
        <w:rPr>
          <w:b/>
          <w:bCs/>
          <w:sz w:val="24"/>
          <w:szCs w:val="24"/>
        </w:rPr>
        <w:lastRenderedPageBreak/>
        <w:t xml:space="preserve">APPENDIX 3 </w:t>
      </w:r>
    </w:p>
    <w:p w14:paraId="545E2655" w14:textId="77777777" w:rsidR="007158F2" w:rsidRPr="00985C38" w:rsidRDefault="007158F2" w:rsidP="007158F2">
      <w:pPr>
        <w:rPr>
          <w:b/>
          <w:bCs/>
          <w:sz w:val="24"/>
          <w:szCs w:val="24"/>
        </w:rPr>
      </w:pPr>
      <w:r w:rsidRPr="00985C38">
        <w:rPr>
          <w:b/>
          <w:bCs/>
          <w:sz w:val="24"/>
          <w:szCs w:val="24"/>
        </w:rPr>
        <w:t>RQ2: To what extent did EDI strategies correspond with changes in gender pay gap and career progression outcomes (2020–2025)?</w:t>
      </w:r>
    </w:p>
    <w:p w14:paraId="3AF16252" w14:textId="77777777" w:rsidR="007158F2" w:rsidRPr="00985C38" w:rsidRDefault="007158F2" w:rsidP="007158F2">
      <w:pPr>
        <w:rPr>
          <w:b/>
          <w:bCs/>
          <w:sz w:val="24"/>
          <w:szCs w:val="24"/>
        </w:rPr>
      </w:pPr>
      <w:r w:rsidRPr="00985C38">
        <w:rPr>
          <w:b/>
          <w:bCs/>
          <w:sz w:val="24"/>
          <w:szCs w:val="24"/>
        </w:rPr>
        <w:t>Table A3.1: Overview of Qualitative Data Analysis Underpinning RQ2 – University of Salford (2020–2025)</w:t>
      </w:r>
    </w:p>
    <w:tbl>
      <w:tblPr>
        <w:tblStyle w:val="TableGrid"/>
        <w:tblW w:w="0" w:type="auto"/>
        <w:tblLook w:val="04A0" w:firstRow="1" w:lastRow="0" w:firstColumn="1" w:lastColumn="0" w:noHBand="0" w:noVBand="1"/>
      </w:tblPr>
      <w:tblGrid>
        <w:gridCol w:w="2010"/>
        <w:gridCol w:w="1846"/>
        <w:gridCol w:w="1553"/>
        <w:gridCol w:w="1186"/>
        <w:gridCol w:w="2421"/>
      </w:tblGrid>
      <w:tr w:rsidR="007158F2" w:rsidRPr="00020525" w14:paraId="203B5946" w14:textId="77777777" w:rsidTr="008E26E9">
        <w:tc>
          <w:tcPr>
            <w:tcW w:w="0" w:type="auto"/>
            <w:shd w:val="clear" w:color="auto" w:fill="4C94D8" w:themeFill="text2" w:themeFillTint="80"/>
            <w:hideMark/>
          </w:tcPr>
          <w:p w14:paraId="5955BCA7" w14:textId="77777777" w:rsidR="007158F2" w:rsidRPr="00020525" w:rsidRDefault="007158F2" w:rsidP="008E26E9">
            <w:pPr>
              <w:spacing w:after="160" w:line="278" w:lineRule="auto"/>
              <w:rPr>
                <w:b/>
                <w:bCs/>
              </w:rPr>
            </w:pPr>
            <w:r w:rsidRPr="00020525">
              <w:rPr>
                <w:b/>
                <w:bCs/>
              </w:rPr>
              <w:t>Research Question</w:t>
            </w:r>
          </w:p>
        </w:tc>
        <w:tc>
          <w:tcPr>
            <w:tcW w:w="0" w:type="auto"/>
            <w:shd w:val="clear" w:color="auto" w:fill="4C94D8" w:themeFill="text2" w:themeFillTint="80"/>
            <w:hideMark/>
          </w:tcPr>
          <w:p w14:paraId="49333CD7" w14:textId="77777777" w:rsidR="007158F2" w:rsidRPr="00020525" w:rsidRDefault="007158F2" w:rsidP="008E26E9">
            <w:pPr>
              <w:spacing w:after="160" w:line="278" w:lineRule="auto"/>
              <w:rPr>
                <w:b/>
                <w:bCs/>
              </w:rPr>
            </w:pPr>
            <w:r w:rsidRPr="00020525">
              <w:rPr>
                <w:b/>
                <w:bCs/>
              </w:rPr>
              <w:t>Main Theme</w:t>
            </w:r>
          </w:p>
        </w:tc>
        <w:tc>
          <w:tcPr>
            <w:tcW w:w="0" w:type="auto"/>
            <w:shd w:val="clear" w:color="auto" w:fill="4C94D8" w:themeFill="text2" w:themeFillTint="80"/>
            <w:hideMark/>
          </w:tcPr>
          <w:p w14:paraId="4DB1ECB4" w14:textId="77777777" w:rsidR="007158F2" w:rsidRPr="00020525" w:rsidRDefault="007158F2" w:rsidP="008E26E9">
            <w:pPr>
              <w:spacing w:after="160" w:line="278" w:lineRule="auto"/>
              <w:rPr>
                <w:b/>
                <w:bCs/>
              </w:rPr>
            </w:pPr>
            <w:r w:rsidRPr="00020525">
              <w:rPr>
                <w:b/>
                <w:bCs/>
              </w:rPr>
              <w:t>Sub-theme / Code</w:t>
            </w:r>
          </w:p>
        </w:tc>
        <w:tc>
          <w:tcPr>
            <w:tcW w:w="0" w:type="auto"/>
            <w:shd w:val="clear" w:color="auto" w:fill="4C94D8" w:themeFill="text2" w:themeFillTint="80"/>
            <w:hideMark/>
          </w:tcPr>
          <w:p w14:paraId="3DD2A51C" w14:textId="77777777" w:rsidR="007158F2" w:rsidRPr="00020525" w:rsidRDefault="007158F2" w:rsidP="008E26E9">
            <w:pPr>
              <w:spacing w:after="160" w:line="278" w:lineRule="auto"/>
              <w:rPr>
                <w:b/>
                <w:bCs/>
              </w:rPr>
            </w:pPr>
            <w:r w:rsidRPr="00020525">
              <w:rPr>
                <w:b/>
                <w:bCs/>
              </w:rPr>
              <w:t>Findings Section Ref</w:t>
            </w:r>
          </w:p>
        </w:tc>
        <w:tc>
          <w:tcPr>
            <w:tcW w:w="0" w:type="auto"/>
            <w:shd w:val="clear" w:color="auto" w:fill="4C94D8" w:themeFill="text2" w:themeFillTint="80"/>
            <w:hideMark/>
          </w:tcPr>
          <w:p w14:paraId="5514F657" w14:textId="77777777" w:rsidR="007158F2" w:rsidRPr="00020525" w:rsidRDefault="007158F2" w:rsidP="008E26E9">
            <w:pPr>
              <w:spacing w:after="160" w:line="278" w:lineRule="auto"/>
              <w:rPr>
                <w:b/>
                <w:bCs/>
              </w:rPr>
            </w:pPr>
            <w:r w:rsidRPr="008C70AB">
              <w:rPr>
                <w:b/>
                <w:bCs/>
              </w:rPr>
              <w:t xml:space="preserve">Illustrative Extract </w:t>
            </w:r>
          </w:p>
        </w:tc>
      </w:tr>
      <w:tr w:rsidR="007158F2" w:rsidRPr="00020525" w14:paraId="0F569148" w14:textId="77777777" w:rsidTr="008E26E9">
        <w:tc>
          <w:tcPr>
            <w:tcW w:w="0" w:type="auto"/>
            <w:hideMark/>
          </w:tcPr>
          <w:p w14:paraId="1FDC9AF6" w14:textId="77777777" w:rsidR="007158F2" w:rsidRPr="004204CB" w:rsidRDefault="007158F2" w:rsidP="008E26E9">
            <w:pPr>
              <w:spacing w:after="160" w:line="278" w:lineRule="auto"/>
              <w:rPr>
                <w:b/>
                <w:bCs/>
              </w:rPr>
            </w:pPr>
            <w:r w:rsidRPr="004204CB">
              <w:rPr>
                <w:b/>
                <w:bCs/>
              </w:rPr>
              <w:t>RQ2: To what extent did EDI strategies correspond with changes in gender pay gap and career progression outcomes (2020–2025)?</w:t>
            </w:r>
          </w:p>
        </w:tc>
        <w:tc>
          <w:tcPr>
            <w:tcW w:w="0" w:type="auto"/>
            <w:hideMark/>
          </w:tcPr>
          <w:p w14:paraId="6D31A29C" w14:textId="77777777" w:rsidR="007158F2" w:rsidRPr="00020525" w:rsidRDefault="007158F2" w:rsidP="008E26E9">
            <w:pPr>
              <w:spacing w:after="160" w:line="278" w:lineRule="auto"/>
            </w:pPr>
            <w:r w:rsidRPr="00020525">
              <w:t xml:space="preserve">Baseline gender </w:t>
            </w:r>
            <w:proofErr w:type="gramStart"/>
            <w:r w:rsidRPr="00020525">
              <w:t>pay</w:t>
            </w:r>
            <w:proofErr w:type="gramEnd"/>
            <w:r w:rsidRPr="00020525">
              <w:t xml:space="preserve"> gap position</w:t>
            </w:r>
          </w:p>
        </w:tc>
        <w:tc>
          <w:tcPr>
            <w:tcW w:w="0" w:type="auto"/>
            <w:hideMark/>
          </w:tcPr>
          <w:p w14:paraId="2438334F" w14:textId="77777777" w:rsidR="007158F2" w:rsidRPr="00020525" w:rsidRDefault="007158F2" w:rsidP="008E26E9">
            <w:pPr>
              <w:spacing w:after="160" w:line="278" w:lineRule="auto"/>
            </w:pPr>
            <w:r w:rsidRPr="00020525">
              <w:t>Median GPG at 11.1% (static 2020–2021)</w:t>
            </w:r>
          </w:p>
        </w:tc>
        <w:tc>
          <w:tcPr>
            <w:tcW w:w="0" w:type="auto"/>
            <w:hideMark/>
          </w:tcPr>
          <w:p w14:paraId="1B152243" w14:textId="77777777" w:rsidR="007158F2" w:rsidRPr="00020525" w:rsidRDefault="007158F2" w:rsidP="008E26E9">
            <w:pPr>
              <w:spacing w:after="160" w:line="278" w:lineRule="auto"/>
            </w:pPr>
            <w:r w:rsidRPr="00020525">
              <w:t>3.2</w:t>
            </w:r>
          </w:p>
        </w:tc>
        <w:tc>
          <w:tcPr>
            <w:tcW w:w="0" w:type="auto"/>
            <w:hideMark/>
          </w:tcPr>
          <w:p w14:paraId="14D01F89" w14:textId="77777777" w:rsidR="007158F2" w:rsidRPr="00020525" w:rsidRDefault="007158F2" w:rsidP="008E26E9">
            <w:pPr>
              <w:spacing w:after="160" w:line="278" w:lineRule="auto"/>
            </w:pPr>
            <w:r w:rsidRPr="00020525">
              <w:t>“The median hourly rate for men is 11.1% higher than the median hourly rate for women.” (University of Salford, 2020, p. 2)</w:t>
            </w:r>
          </w:p>
        </w:tc>
      </w:tr>
      <w:tr w:rsidR="007158F2" w:rsidRPr="00020525" w14:paraId="5B2D1380" w14:textId="77777777" w:rsidTr="008E26E9">
        <w:tc>
          <w:tcPr>
            <w:tcW w:w="0" w:type="auto"/>
            <w:hideMark/>
          </w:tcPr>
          <w:p w14:paraId="071027B7" w14:textId="77777777" w:rsidR="007158F2" w:rsidRPr="00020525" w:rsidRDefault="007158F2" w:rsidP="008E26E9">
            <w:pPr>
              <w:spacing w:after="160" w:line="278" w:lineRule="auto"/>
            </w:pPr>
            <w:r w:rsidRPr="00020525">
              <w:t>RQ2</w:t>
            </w:r>
          </w:p>
        </w:tc>
        <w:tc>
          <w:tcPr>
            <w:tcW w:w="0" w:type="auto"/>
            <w:hideMark/>
          </w:tcPr>
          <w:p w14:paraId="11D03F92" w14:textId="77777777" w:rsidR="007158F2" w:rsidRPr="00020525" w:rsidRDefault="007158F2" w:rsidP="008E26E9">
            <w:pPr>
              <w:spacing w:after="160" w:line="278" w:lineRule="auto"/>
            </w:pPr>
            <w:r w:rsidRPr="00020525">
              <w:t xml:space="preserve">Baseline gender </w:t>
            </w:r>
            <w:proofErr w:type="gramStart"/>
            <w:r w:rsidRPr="00020525">
              <w:t>pay</w:t>
            </w:r>
            <w:proofErr w:type="gramEnd"/>
            <w:r w:rsidRPr="00020525">
              <w:t xml:space="preserve"> gap position</w:t>
            </w:r>
          </w:p>
        </w:tc>
        <w:tc>
          <w:tcPr>
            <w:tcW w:w="0" w:type="auto"/>
            <w:hideMark/>
          </w:tcPr>
          <w:p w14:paraId="7D237E54" w14:textId="77777777" w:rsidR="007158F2" w:rsidRPr="00020525" w:rsidRDefault="007158F2" w:rsidP="008E26E9">
            <w:pPr>
              <w:spacing w:after="160" w:line="278" w:lineRule="auto"/>
            </w:pPr>
            <w:r w:rsidRPr="00020525">
              <w:t>Gap remained unchanged in 2021</w:t>
            </w:r>
          </w:p>
        </w:tc>
        <w:tc>
          <w:tcPr>
            <w:tcW w:w="0" w:type="auto"/>
            <w:hideMark/>
          </w:tcPr>
          <w:p w14:paraId="55B268DB" w14:textId="77777777" w:rsidR="007158F2" w:rsidRPr="00020525" w:rsidRDefault="007158F2" w:rsidP="008E26E9">
            <w:pPr>
              <w:spacing w:after="160" w:line="278" w:lineRule="auto"/>
            </w:pPr>
            <w:r w:rsidRPr="00020525">
              <w:t>3.2</w:t>
            </w:r>
          </w:p>
        </w:tc>
        <w:tc>
          <w:tcPr>
            <w:tcW w:w="0" w:type="auto"/>
            <w:hideMark/>
          </w:tcPr>
          <w:p w14:paraId="386D7BA4" w14:textId="77777777" w:rsidR="007158F2" w:rsidRPr="00020525" w:rsidRDefault="007158F2" w:rsidP="008E26E9">
            <w:pPr>
              <w:spacing w:after="160" w:line="278" w:lineRule="auto"/>
            </w:pPr>
            <w:r w:rsidRPr="00020525">
              <w:t>“Males have a median hourly rate 11.1% higher than the median hourly rate for females. This has not changed since 2019…” (University of Salford, 2021, p. 4)</w:t>
            </w:r>
          </w:p>
        </w:tc>
      </w:tr>
      <w:tr w:rsidR="007158F2" w:rsidRPr="00020525" w14:paraId="11DC0CCC" w14:textId="77777777" w:rsidTr="008E26E9">
        <w:tc>
          <w:tcPr>
            <w:tcW w:w="0" w:type="auto"/>
            <w:hideMark/>
          </w:tcPr>
          <w:p w14:paraId="6B51F5EE" w14:textId="77777777" w:rsidR="007158F2" w:rsidRPr="00020525" w:rsidRDefault="007158F2" w:rsidP="008E26E9">
            <w:pPr>
              <w:spacing w:after="160" w:line="278" w:lineRule="auto"/>
            </w:pPr>
            <w:r w:rsidRPr="00020525">
              <w:t>RQ2</w:t>
            </w:r>
          </w:p>
        </w:tc>
        <w:tc>
          <w:tcPr>
            <w:tcW w:w="0" w:type="auto"/>
            <w:hideMark/>
          </w:tcPr>
          <w:p w14:paraId="4254A2E6" w14:textId="77777777" w:rsidR="007158F2" w:rsidRPr="00020525" w:rsidRDefault="007158F2" w:rsidP="008E26E9">
            <w:pPr>
              <w:spacing w:after="160" w:line="278" w:lineRule="auto"/>
            </w:pPr>
            <w:r w:rsidRPr="00020525">
              <w:t>Initial measurable improvement</w:t>
            </w:r>
          </w:p>
        </w:tc>
        <w:tc>
          <w:tcPr>
            <w:tcW w:w="0" w:type="auto"/>
            <w:hideMark/>
          </w:tcPr>
          <w:p w14:paraId="43FA19B6" w14:textId="77777777" w:rsidR="007158F2" w:rsidRPr="00020525" w:rsidRDefault="007158F2" w:rsidP="008E26E9">
            <w:pPr>
              <w:spacing w:after="160" w:line="278" w:lineRule="auto"/>
            </w:pPr>
            <w:r w:rsidRPr="00020525">
              <w:t>Median GPG decreased to 8.5%</w:t>
            </w:r>
          </w:p>
        </w:tc>
        <w:tc>
          <w:tcPr>
            <w:tcW w:w="0" w:type="auto"/>
            <w:hideMark/>
          </w:tcPr>
          <w:p w14:paraId="6CB931E2" w14:textId="77777777" w:rsidR="007158F2" w:rsidRPr="00020525" w:rsidRDefault="007158F2" w:rsidP="008E26E9">
            <w:pPr>
              <w:spacing w:after="160" w:line="278" w:lineRule="auto"/>
            </w:pPr>
            <w:r w:rsidRPr="00020525">
              <w:t>3.2</w:t>
            </w:r>
          </w:p>
        </w:tc>
        <w:tc>
          <w:tcPr>
            <w:tcW w:w="0" w:type="auto"/>
            <w:hideMark/>
          </w:tcPr>
          <w:p w14:paraId="17BB91FB" w14:textId="77777777" w:rsidR="007158F2" w:rsidRPr="00020525" w:rsidRDefault="007158F2" w:rsidP="008E26E9">
            <w:pPr>
              <w:spacing w:after="160" w:line="278" w:lineRule="auto"/>
            </w:pPr>
            <w:r w:rsidRPr="00020525">
              <w:t>“The median gender pay gap decreased for the first time in 4 years…” (University of Salford, 2022, p. 2)</w:t>
            </w:r>
          </w:p>
        </w:tc>
      </w:tr>
      <w:tr w:rsidR="007158F2" w:rsidRPr="00020525" w14:paraId="3B94BCF3" w14:textId="77777777" w:rsidTr="008E26E9">
        <w:tc>
          <w:tcPr>
            <w:tcW w:w="0" w:type="auto"/>
            <w:hideMark/>
          </w:tcPr>
          <w:p w14:paraId="41E3B3F1" w14:textId="77777777" w:rsidR="007158F2" w:rsidRPr="00020525" w:rsidRDefault="007158F2" w:rsidP="008E26E9">
            <w:pPr>
              <w:spacing w:after="160" w:line="278" w:lineRule="auto"/>
            </w:pPr>
            <w:r w:rsidRPr="00020525">
              <w:t>RQ2</w:t>
            </w:r>
          </w:p>
        </w:tc>
        <w:tc>
          <w:tcPr>
            <w:tcW w:w="0" w:type="auto"/>
            <w:hideMark/>
          </w:tcPr>
          <w:p w14:paraId="577B097A" w14:textId="77777777" w:rsidR="007158F2" w:rsidRPr="00020525" w:rsidRDefault="007158F2" w:rsidP="008E26E9">
            <w:pPr>
              <w:spacing w:after="160" w:line="278" w:lineRule="auto"/>
            </w:pPr>
            <w:r w:rsidRPr="00020525">
              <w:t>Sustained reduction in pay gap</w:t>
            </w:r>
          </w:p>
        </w:tc>
        <w:tc>
          <w:tcPr>
            <w:tcW w:w="0" w:type="auto"/>
            <w:hideMark/>
          </w:tcPr>
          <w:p w14:paraId="262780DD" w14:textId="77777777" w:rsidR="007158F2" w:rsidRPr="00020525" w:rsidRDefault="007158F2" w:rsidP="008E26E9">
            <w:pPr>
              <w:spacing w:after="160" w:line="278" w:lineRule="auto"/>
            </w:pPr>
            <w:r w:rsidRPr="00020525">
              <w:t>Median GPG reduced to 5.7% (2024)</w:t>
            </w:r>
          </w:p>
        </w:tc>
        <w:tc>
          <w:tcPr>
            <w:tcW w:w="0" w:type="auto"/>
            <w:hideMark/>
          </w:tcPr>
          <w:p w14:paraId="54875535" w14:textId="77777777" w:rsidR="007158F2" w:rsidRPr="00020525" w:rsidRDefault="007158F2" w:rsidP="008E26E9">
            <w:pPr>
              <w:spacing w:after="160" w:line="278" w:lineRule="auto"/>
            </w:pPr>
            <w:r w:rsidRPr="00020525">
              <w:t>3.2</w:t>
            </w:r>
          </w:p>
        </w:tc>
        <w:tc>
          <w:tcPr>
            <w:tcW w:w="0" w:type="auto"/>
            <w:hideMark/>
          </w:tcPr>
          <w:p w14:paraId="66DCB190" w14:textId="77777777" w:rsidR="007158F2" w:rsidRPr="00020525" w:rsidRDefault="007158F2" w:rsidP="008E26E9">
            <w:pPr>
              <w:spacing w:after="160" w:line="278" w:lineRule="auto"/>
            </w:pPr>
            <w:r w:rsidRPr="00020525">
              <w:t>“The median gender pay gap decreased from 8.5% (2022) to 5.7% (</w:t>
            </w:r>
            <w:proofErr w:type="gramStart"/>
            <w:r w:rsidRPr="00020525">
              <w:t>2024)…</w:t>
            </w:r>
            <w:proofErr w:type="gramEnd"/>
            <w:r w:rsidRPr="00020525">
              <w:t>” (University of Salford, 2024, p. 1)</w:t>
            </w:r>
          </w:p>
        </w:tc>
      </w:tr>
      <w:tr w:rsidR="007158F2" w:rsidRPr="00020525" w14:paraId="2E9E02C3" w14:textId="77777777" w:rsidTr="008E26E9">
        <w:tc>
          <w:tcPr>
            <w:tcW w:w="0" w:type="auto"/>
            <w:hideMark/>
          </w:tcPr>
          <w:p w14:paraId="542195BC" w14:textId="77777777" w:rsidR="007158F2" w:rsidRPr="00020525" w:rsidRDefault="007158F2" w:rsidP="008E26E9">
            <w:pPr>
              <w:spacing w:after="160" w:line="278" w:lineRule="auto"/>
            </w:pPr>
            <w:r w:rsidRPr="00020525">
              <w:t>RQ2</w:t>
            </w:r>
          </w:p>
        </w:tc>
        <w:tc>
          <w:tcPr>
            <w:tcW w:w="0" w:type="auto"/>
            <w:hideMark/>
          </w:tcPr>
          <w:p w14:paraId="277A36DF" w14:textId="77777777" w:rsidR="007158F2" w:rsidRPr="00020525" w:rsidRDefault="007158F2" w:rsidP="008E26E9">
            <w:pPr>
              <w:spacing w:after="160" w:line="278" w:lineRule="auto"/>
            </w:pPr>
            <w:r w:rsidRPr="00020525">
              <w:t>Representation in highest pay quartile</w:t>
            </w:r>
          </w:p>
        </w:tc>
        <w:tc>
          <w:tcPr>
            <w:tcW w:w="0" w:type="auto"/>
            <w:hideMark/>
          </w:tcPr>
          <w:p w14:paraId="1697E03B" w14:textId="77777777" w:rsidR="007158F2" w:rsidRPr="00020525" w:rsidRDefault="007158F2" w:rsidP="008E26E9">
            <w:pPr>
              <w:spacing w:after="160" w:line="278" w:lineRule="auto"/>
            </w:pPr>
            <w:r w:rsidRPr="00020525">
              <w:t>45% women in upper quartile (baseline)</w:t>
            </w:r>
          </w:p>
        </w:tc>
        <w:tc>
          <w:tcPr>
            <w:tcW w:w="0" w:type="auto"/>
            <w:hideMark/>
          </w:tcPr>
          <w:p w14:paraId="5B81FB64" w14:textId="77777777" w:rsidR="007158F2" w:rsidRPr="00020525" w:rsidRDefault="007158F2" w:rsidP="008E26E9">
            <w:pPr>
              <w:spacing w:after="160" w:line="278" w:lineRule="auto"/>
            </w:pPr>
            <w:r w:rsidRPr="00020525">
              <w:t>3.2</w:t>
            </w:r>
          </w:p>
        </w:tc>
        <w:tc>
          <w:tcPr>
            <w:tcW w:w="0" w:type="auto"/>
            <w:hideMark/>
          </w:tcPr>
          <w:p w14:paraId="249621DE" w14:textId="77777777" w:rsidR="007158F2" w:rsidRPr="00020525" w:rsidRDefault="007158F2" w:rsidP="008E26E9">
            <w:pPr>
              <w:spacing w:after="160" w:line="278" w:lineRule="auto"/>
            </w:pPr>
            <w:r w:rsidRPr="00020525">
              <w:t xml:space="preserve">“The highest paid quartile is made up of 45% female and 55% male colleagues.” </w:t>
            </w:r>
            <w:r w:rsidRPr="00020525">
              <w:lastRenderedPageBreak/>
              <w:t>(University of Salford, 2020, p. 6)</w:t>
            </w:r>
          </w:p>
        </w:tc>
      </w:tr>
      <w:tr w:rsidR="007158F2" w:rsidRPr="00020525" w14:paraId="5C5D4E93" w14:textId="77777777" w:rsidTr="008E26E9">
        <w:tc>
          <w:tcPr>
            <w:tcW w:w="0" w:type="auto"/>
            <w:hideMark/>
          </w:tcPr>
          <w:p w14:paraId="7EDCC6C2" w14:textId="77777777" w:rsidR="007158F2" w:rsidRPr="00020525" w:rsidRDefault="007158F2" w:rsidP="008E26E9">
            <w:pPr>
              <w:spacing w:after="160" w:line="278" w:lineRule="auto"/>
            </w:pPr>
            <w:r w:rsidRPr="00020525">
              <w:lastRenderedPageBreak/>
              <w:t>RQ2</w:t>
            </w:r>
          </w:p>
        </w:tc>
        <w:tc>
          <w:tcPr>
            <w:tcW w:w="0" w:type="auto"/>
            <w:hideMark/>
          </w:tcPr>
          <w:p w14:paraId="76C1EB19" w14:textId="77777777" w:rsidR="007158F2" w:rsidRPr="00020525" w:rsidRDefault="007158F2" w:rsidP="008E26E9">
            <w:pPr>
              <w:spacing w:after="160" w:line="278" w:lineRule="auto"/>
            </w:pPr>
            <w:r w:rsidRPr="00020525">
              <w:t>Representation in highest pay quartile</w:t>
            </w:r>
          </w:p>
        </w:tc>
        <w:tc>
          <w:tcPr>
            <w:tcW w:w="0" w:type="auto"/>
            <w:hideMark/>
          </w:tcPr>
          <w:p w14:paraId="08650A35" w14:textId="77777777" w:rsidR="007158F2" w:rsidRPr="00020525" w:rsidRDefault="007158F2" w:rsidP="008E26E9">
            <w:pPr>
              <w:spacing w:after="160" w:line="278" w:lineRule="auto"/>
            </w:pPr>
            <w:r w:rsidRPr="00020525">
              <w:t>Increase to 47% women (2022)</w:t>
            </w:r>
          </w:p>
        </w:tc>
        <w:tc>
          <w:tcPr>
            <w:tcW w:w="0" w:type="auto"/>
            <w:hideMark/>
          </w:tcPr>
          <w:p w14:paraId="27454AED" w14:textId="77777777" w:rsidR="007158F2" w:rsidRPr="00020525" w:rsidRDefault="007158F2" w:rsidP="008E26E9">
            <w:pPr>
              <w:spacing w:after="160" w:line="278" w:lineRule="auto"/>
            </w:pPr>
            <w:r w:rsidRPr="00020525">
              <w:t>3.2</w:t>
            </w:r>
          </w:p>
        </w:tc>
        <w:tc>
          <w:tcPr>
            <w:tcW w:w="0" w:type="auto"/>
            <w:hideMark/>
          </w:tcPr>
          <w:p w14:paraId="28583E5D" w14:textId="77777777" w:rsidR="007158F2" w:rsidRPr="00020525" w:rsidRDefault="007158F2" w:rsidP="008E26E9">
            <w:pPr>
              <w:spacing w:after="160" w:line="278" w:lineRule="auto"/>
            </w:pPr>
            <w:r w:rsidRPr="00020525">
              <w:t>“The highest paid quartile is made up of 47% female and 53% male colleagues.” (University of Salford, 2022, p. 6)</w:t>
            </w:r>
          </w:p>
        </w:tc>
      </w:tr>
      <w:tr w:rsidR="007158F2" w:rsidRPr="00020525" w14:paraId="63104937" w14:textId="77777777" w:rsidTr="008E26E9">
        <w:tc>
          <w:tcPr>
            <w:tcW w:w="0" w:type="auto"/>
            <w:hideMark/>
          </w:tcPr>
          <w:p w14:paraId="029C409D" w14:textId="77777777" w:rsidR="007158F2" w:rsidRPr="00020525" w:rsidRDefault="007158F2" w:rsidP="008E26E9">
            <w:pPr>
              <w:spacing w:after="160" w:line="278" w:lineRule="auto"/>
            </w:pPr>
            <w:r w:rsidRPr="00020525">
              <w:t>RQ2</w:t>
            </w:r>
          </w:p>
        </w:tc>
        <w:tc>
          <w:tcPr>
            <w:tcW w:w="0" w:type="auto"/>
            <w:hideMark/>
          </w:tcPr>
          <w:p w14:paraId="3F676708" w14:textId="77777777" w:rsidR="007158F2" w:rsidRPr="00020525" w:rsidRDefault="007158F2" w:rsidP="008E26E9">
            <w:pPr>
              <w:spacing w:after="160" w:line="278" w:lineRule="auto"/>
            </w:pPr>
            <w:r w:rsidRPr="00020525">
              <w:t>Representation in highest pay quartile</w:t>
            </w:r>
          </w:p>
        </w:tc>
        <w:tc>
          <w:tcPr>
            <w:tcW w:w="0" w:type="auto"/>
            <w:hideMark/>
          </w:tcPr>
          <w:p w14:paraId="7CE866E3" w14:textId="77777777" w:rsidR="007158F2" w:rsidRPr="00020525" w:rsidRDefault="007158F2" w:rsidP="008E26E9">
            <w:pPr>
              <w:spacing w:after="160" w:line="278" w:lineRule="auto"/>
            </w:pPr>
            <w:r w:rsidRPr="00020525">
              <w:t>Increase to 52% women (2024)</w:t>
            </w:r>
          </w:p>
        </w:tc>
        <w:tc>
          <w:tcPr>
            <w:tcW w:w="0" w:type="auto"/>
            <w:hideMark/>
          </w:tcPr>
          <w:p w14:paraId="7AC00028" w14:textId="77777777" w:rsidR="007158F2" w:rsidRPr="00020525" w:rsidRDefault="007158F2" w:rsidP="008E26E9">
            <w:pPr>
              <w:spacing w:after="160" w:line="278" w:lineRule="auto"/>
            </w:pPr>
            <w:r w:rsidRPr="00020525">
              <w:t>3.2</w:t>
            </w:r>
          </w:p>
        </w:tc>
        <w:tc>
          <w:tcPr>
            <w:tcW w:w="0" w:type="auto"/>
            <w:hideMark/>
          </w:tcPr>
          <w:p w14:paraId="32D2FBBD" w14:textId="77777777" w:rsidR="007158F2" w:rsidRPr="00020525" w:rsidRDefault="007158F2" w:rsidP="008E26E9">
            <w:pPr>
              <w:spacing w:after="160" w:line="278" w:lineRule="auto"/>
            </w:pPr>
            <w:r w:rsidRPr="00020525">
              <w:t>“…the representation of women has increased in the upper quartile pay bracket from 47% in 2023 to 52% in 2024.” (University of Salford, 2024, p. 6)</w:t>
            </w:r>
          </w:p>
        </w:tc>
      </w:tr>
      <w:tr w:rsidR="007158F2" w:rsidRPr="00020525" w14:paraId="1AEDCE92" w14:textId="77777777" w:rsidTr="008E26E9">
        <w:tc>
          <w:tcPr>
            <w:tcW w:w="0" w:type="auto"/>
            <w:hideMark/>
          </w:tcPr>
          <w:p w14:paraId="02D5AEBB" w14:textId="77777777" w:rsidR="007158F2" w:rsidRPr="00020525" w:rsidRDefault="007158F2" w:rsidP="008E26E9">
            <w:pPr>
              <w:spacing w:after="160" w:line="278" w:lineRule="auto"/>
            </w:pPr>
            <w:r w:rsidRPr="00020525">
              <w:t>RQ2</w:t>
            </w:r>
          </w:p>
        </w:tc>
        <w:tc>
          <w:tcPr>
            <w:tcW w:w="0" w:type="auto"/>
            <w:hideMark/>
          </w:tcPr>
          <w:p w14:paraId="5A9CF70D" w14:textId="77777777" w:rsidR="007158F2" w:rsidRPr="00020525" w:rsidRDefault="007158F2" w:rsidP="008E26E9">
            <w:pPr>
              <w:spacing w:after="160" w:line="278" w:lineRule="auto"/>
            </w:pPr>
            <w:r w:rsidRPr="00020525">
              <w:t>Structural drivers of pay gap</w:t>
            </w:r>
          </w:p>
        </w:tc>
        <w:tc>
          <w:tcPr>
            <w:tcW w:w="0" w:type="auto"/>
            <w:hideMark/>
          </w:tcPr>
          <w:p w14:paraId="52BE93A0" w14:textId="77777777" w:rsidR="007158F2" w:rsidRPr="00020525" w:rsidRDefault="007158F2" w:rsidP="008E26E9">
            <w:pPr>
              <w:spacing w:after="160" w:line="278" w:lineRule="auto"/>
            </w:pPr>
            <w:r w:rsidRPr="00020525">
              <w:t>Lower quartile imbalance driving gap</w:t>
            </w:r>
          </w:p>
        </w:tc>
        <w:tc>
          <w:tcPr>
            <w:tcW w:w="0" w:type="auto"/>
            <w:hideMark/>
          </w:tcPr>
          <w:p w14:paraId="7432532A" w14:textId="77777777" w:rsidR="007158F2" w:rsidRPr="00020525" w:rsidRDefault="007158F2" w:rsidP="008E26E9">
            <w:pPr>
              <w:spacing w:after="160" w:line="278" w:lineRule="auto"/>
            </w:pPr>
            <w:r w:rsidRPr="00020525">
              <w:t>3.2</w:t>
            </w:r>
          </w:p>
        </w:tc>
        <w:tc>
          <w:tcPr>
            <w:tcW w:w="0" w:type="auto"/>
            <w:hideMark/>
          </w:tcPr>
          <w:p w14:paraId="49AD5DA1" w14:textId="77777777" w:rsidR="007158F2" w:rsidRPr="00020525" w:rsidRDefault="007158F2" w:rsidP="008E26E9">
            <w:pPr>
              <w:spacing w:after="160" w:line="278" w:lineRule="auto"/>
            </w:pPr>
            <w:r w:rsidRPr="00020525">
              <w:t>“Although we have seen a drop in female representation in the lower quartile, it remains out of balance with the rest of the University and is a major driver of the gender pay gap.” (University of Salford, 2022, p. 2)</w:t>
            </w:r>
          </w:p>
        </w:tc>
      </w:tr>
      <w:tr w:rsidR="007158F2" w:rsidRPr="00020525" w14:paraId="06497E93" w14:textId="77777777" w:rsidTr="008E26E9">
        <w:tc>
          <w:tcPr>
            <w:tcW w:w="0" w:type="auto"/>
            <w:hideMark/>
          </w:tcPr>
          <w:p w14:paraId="301A6BCA" w14:textId="77777777" w:rsidR="007158F2" w:rsidRPr="00020525" w:rsidRDefault="007158F2" w:rsidP="008E26E9">
            <w:pPr>
              <w:spacing w:after="160" w:line="278" w:lineRule="auto"/>
            </w:pPr>
            <w:r w:rsidRPr="00020525">
              <w:t>RQ2</w:t>
            </w:r>
          </w:p>
        </w:tc>
        <w:tc>
          <w:tcPr>
            <w:tcW w:w="0" w:type="auto"/>
            <w:hideMark/>
          </w:tcPr>
          <w:p w14:paraId="00A5F96E" w14:textId="77777777" w:rsidR="007158F2" w:rsidRPr="00020525" w:rsidRDefault="007158F2" w:rsidP="008E26E9">
            <w:pPr>
              <w:spacing w:after="160" w:line="278" w:lineRule="auto"/>
            </w:pPr>
            <w:r w:rsidRPr="00020525">
              <w:t>Link between representation &amp; pay gap reduction</w:t>
            </w:r>
          </w:p>
        </w:tc>
        <w:tc>
          <w:tcPr>
            <w:tcW w:w="0" w:type="auto"/>
            <w:hideMark/>
          </w:tcPr>
          <w:p w14:paraId="7A5EAAA7" w14:textId="77777777" w:rsidR="007158F2" w:rsidRPr="00020525" w:rsidRDefault="007158F2" w:rsidP="008E26E9">
            <w:pPr>
              <w:spacing w:after="160" w:line="278" w:lineRule="auto"/>
            </w:pPr>
            <w:r w:rsidRPr="00020525">
              <w:t>Increased female upper-quartile presence linked to GPG reduction</w:t>
            </w:r>
          </w:p>
        </w:tc>
        <w:tc>
          <w:tcPr>
            <w:tcW w:w="0" w:type="auto"/>
            <w:hideMark/>
          </w:tcPr>
          <w:p w14:paraId="1CC5C3A1" w14:textId="77777777" w:rsidR="007158F2" w:rsidRPr="00020525" w:rsidRDefault="007158F2" w:rsidP="008E26E9">
            <w:pPr>
              <w:spacing w:after="160" w:line="278" w:lineRule="auto"/>
            </w:pPr>
            <w:r w:rsidRPr="00020525">
              <w:t>3.2</w:t>
            </w:r>
          </w:p>
        </w:tc>
        <w:tc>
          <w:tcPr>
            <w:tcW w:w="0" w:type="auto"/>
            <w:hideMark/>
          </w:tcPr>
          <w:p w14:paraId="69EEB959" w14:textId="77777777" w:rsidR="007158F2" w:rsidRPr="00020525" w:rsidRDefault="007158F2" w:rsidP="008E26E9">
            <w:pPr>
              <w:spacing w:after="160" w:line="278" w:lineRule="auto"/>
            </w:pPr>
            <w:r w:rsidRPr="00020525">
              <w:t>“This is likely caused by the increase in female colleagues in the upper quartile…” (University of Salford, 2024, p. 6)</w:t>
            </w:r>
          </w:p>
        </w:tc>
      </w:tr>
      <w:tr w:rsidR="007158F2" w:rsidRPr="00020525" w14:paraId="07881DFB" w14:textId="77777777" w:rsidTr="008E26E9">
        <w:tc>
          <w:tcPr>
            <w:tcW w:w="0" w:type="auto"/>
            <w:hideMark/>
          </w:tcPr>
          <w:p w14:paraId="4C898ED0" w14:textId="77777777" w:rsidR="007158F2" w:rsidRPr="00020525" w:rsidRDefault="007158F2" w:rsidP="008E26E9">
            <w:pPr>
              <w:spacing w:after="160" w:line="278" w:lineRule="auto"/>
            </w:pPr>
            <w:r w:rsidRPr="00020525">
              <w:t>RQ2</w:t>
            </w:r>
          </w:p>
        </w:tc>
        <w:tc>
          <w:tcPr>
            <w:tcW w:w="0" w:type="auto"/>
            <w:hideMark/>
          </w:tcPr>
          <w:p w14:paraId="5438B15B" w14:textId="77777777" w:rsidR="007158F2" w:rsidRPr="00020525" w:rsidRDefault="007158F2" w:rsidP="008E26E9">
            <w:pPr>
              <w:spacing w:after="160" w:line="278" w:lineRule="auto"/>
            </w:pPr>
            <w:r w:rsidRPr="00020525">
              <w:t>Career progression outcomes</w:t>
            </w:r>
          </w:p>
        </w:tc>
        <w:tc>
          <w:tcPr>
            <w:tcW w:w="0" w:type="auto"/>
            <w:hideMark/>
          </w:tcPr>
          <w:p w14:paraId="1DF8CA33" w14:textId="77777777" w:rsidR="007158F2" w:rsidRPr="00020525" w:rsidRDefault="007158F2" w:rsidP="008E26E9">
            <w:pPr>
              <w:spacing w:after="160" w:line="278" w:lineRule="auto"/>
            </w:pPr>
            <w:r w:rsidRPr="00020525">
              <w:t>Promotions of female colleagues</w:t>
            </w:r>
          </w:p>
        </w:tc>
        <w:tc>
          <w:tcPr>
            <w:tcW w:w="0" w:type="auto"/>
            <w:hideMark/>
          </w:tcPr>
          <w:p w14:paraId="6C71CDB5" w14:textId="77777777" w:rsidR="007158F2" w:rsidRPr="00020525" w:rsidRDefault="007158F2" w:rsidP="008E26E9">
            <w:pPr>
              <w:spacing w:after="160" w:line="278" w:lineRule="auto"/>
            </w:pPr>
            <w:r w:rsidRPr="00020525">
              <w:t>3.2</w:t>
            </w:r>
          </w:p>
        </w:tc>
        <w:tc>
          <w:tcPr>
            <w:tcW w:w="0" w:type="auto"/>
            <w:hideMark/>
          </w:tcPr>
          <w:p w14:paraId="64ED8805" w14:textId="77777777" w:rsidR="007158F2" w:rsidRPr="00020525" w:rsidRDefault="007158F2" w:rsidP="008E26E9">
            <w:pPr>
              <w:spacing w:after="160" w:line="278" w:lineRule="auto"/>
            </w:pPr>
            <w:r w:rsidRPr="00020525">
              <w:t>“Promotions in 2021–22 saw 59% of promotions being accomplished by females…” (University of Salford, 2022, p. 7)</w:t>
            </w:r>
          </w:p>
        </w:tc>
      </w:tr>
    </w:tbl>
    <w:p w14:paraId="0BF2EAD2" w14:textId="77777777" w:rsidR="007158F2" w:rsidRDefault="007158F2" w:rsidP="007158F2"/>
    <w:p w14:paraId="7767E0B5" w14:textId="77777777" w:rsidR="007158F2" w:rsidRDefault="007158F2" w:rsidP="007158F2">
      <w:pPr>
        <w:rPr>
          <w:b/>
          <w:bCs/>
          <w:sz w:val="24"/>
          <w:szCs w:val="24"/>
        </w:rPr>
      </w:pPr>
    </w:p>
    <w:p w14:paraId="10553118" w14:textId="77777777" w:rsidR="007158F2" w:rsidRDefault="007158F2" w:rsidP="007158F2">
      <w:pPr>
        <w:rPr>
          <w:b/>
          <w:bCs/>
          <w:sz w:val="24"/>
          <w:szCs w:val="24"/>
        </w:rPr>
      </w:pPr>
    </w:p>
    <w:p w14:paraId="01273C74" w14:textId="1F2206B4" w:rsidR="007158F2" w:rsidRPr="00985C38" w:rsidRDefault="007158F2" w:rsidP="007158F2">
      <w:pPr>
        <w:rPr>
          <w:b/>
          <w:bCs/>
          <w:sz w:val="24"/>
          <w:szCs w:val="24"/>
        </w:rPr>
      </w:pPr>
      <w:r w:rsidRPr="00985C38">
        <w:rPr>
          <w:b/>
          <w:bCs/>
          <w:sz w:val="24"/>
          <w:szCs w:val="24"/>
        </w:rPr>
        <w:t>Table A3.2: Overview of Quantitative Data Underpinning RQ2 – University of Manchester (2020–2025)</w:t>
      </w:r>
    </w:p>
    <w:tbl>
      <w:tblPr>
        <w:tblStyle w:val="TableGrid"/>
        <w:tblW w:w="0" w:type="auto"/>
        <w:tblLook w:val="04A0" w:firstRow="1" w:lastRow="0" w:firstColumn="1" w:lastColumn="0" w:noHBand="0" w:noVBand="1"/>
      </w:tblPr>
      <w:tblGrid>
        <w:gridCol w:w="2809"/>
        <w:gridCol w:w="1592"/>
        <w:gridCol w:w="1318"/>
        <w:gridCol w:w="1268"/>
        <w:gridCol w:w="2029"/>
      </w:tblGrid>
      <w:tr w:rsidR="007158F2" w:rsidRPr="00F575ED" w14:paraId="4928CDAF" w14:textId="77777777" w:rsidTr="008E26E9">
        <w:tc>
          <w:tcPr>
            <w:tcW w:w="0" w:type="auto"/>
            <w:shd w:val="clear" w:color="auto" w:fill="4C94D8" w:themeFill="text2" w:themeFillTint="80"/>
            <w:hideMark/>
          </w:tcPr>
          <w:p w14:paraId="5946F087" w14:textId="77777777" w:rsidR="007158F2" w:rsidRPr="00F575ED" w:rsidRDefault="007158F2" w:rsidP="008E26E9">
            <w:pPr>
              <w:spacing w:after="160" w:line="278" w:lineRule="auto"/>
              <w:rPr>
                <w:b/>
                <w:bCs/>
              </w:rPr>
            </w:pPr>
            <w:r w:rsidRPr="00F575ED">
              <w:rPr>
                <w:b/>
                <w:bCs/>
              </w:rPr>
              <w:t>Research Question</w:t>
            </w:r>
          </w:p>
        </w:tc>
        <w:tc>
          <w:tcPr>
            <w:tcW w:w="0" w:type="auto"/>
            <w:shd w:val="clear" w:color="auto" w:fill="4C94D8" w:themeFill="text2" w:themeFillTint="80"/>
            <w:hideMark/>
          </w:tcPr>
          <w:p w14:paraId="11864257" w14:textId="77777777" w:rsidR="007158F2" w:rsidRPr="00F575ED" w:rsidRDefault="007158F2" w:rsidP="008E26E9">
            <w:pPr>
              <w:spacing w:after="160" w:line="278" w:lineRule="auto"/>
              <w:rPr>
                <w:b/>
                <w:bCs/>
              </w:rPr>
            </w:pPr>
            <w:r w:rsidRPr="00F575ED">
              <w:rPr>
                <w:b/>
                <w:bCs/>
              </w:rPr>
              <w:t>Main Theme</w:t>
            </w:r>
          </w:p>
        </w:tc>
        <w:tc>
          <w:tcPr>
            <w:tcW w:w="0" w:type="auto"/>
            <w:shd w:val="clear" w:color="auto" w:fill="4C94D8" w:themeFill="text2" w:themeFillTint="80"/>
            <w:hideMark/>
          </w:tcPr>
          <w:p w14:paraId="66ABB3A2" w14:textId="77777777" w:rsidR="007158F2" w:rsidRPr="00F575ED" w:rsidRDefault="007158F2" w:rsidP="008E26E9">
            <w:pPr>
              <w:spacing w:after="160" w:line="278" w:lineRule="auto"/>
              <w:rPr>
                <w:b/>
                <w:bCs/>
              </w:rPr>
            </w:pPr>
            <w:r w:rsidRPr="00F575ED">
              <w:rPr>
                <w:b/>
                <w:bCs/>
              </w:rPr>
              <w:t>Sub-theme / Code</w:t>
            </w:r>
          </w:p>
        </w:tc>
        <w:tc>
          <w:tcPr>
            <w:tcW w:w="0" w:type="auto"/>
            <w:shd w:val="clear" w:color="auto" w:fill="4C94D8" w:themeFill="text2" w:themeFillTint="80"/>
            <w:hideMark/>
          </w:tcPr>
          <w:p w14:paraId="6417383F" w14:textId="77777777" w:rsidR="007158F2" w:rsidRPr="00F575ED" w:rsidRDefault="007158F2" w:rsidP="008E26E9">
            <w:pPr>
              <w:spacing w:after="160" w:line="278" w:lineRule="auto"/>
              <w:rPr>
                <w:b/>
                <w:bCs/>
              </w:rPr>
            </w:pPr>
            <w:r w:rsidRPr="00F575ED">
              <w:rPr>
                <w:b/>
                <w:bCs/>
              </w:rPr>
              <w:t>Findings Section Ref</w:t>
            </w:r>
          </w:p>
        </w:tc>
        <w:tc>
          <w:tcPr>
            <w:tcW w:w="0" w:type="auto"/>
            <w:shd w:val="clear" w:color="auto" w:fill="4C94D8" w:themeFill="text2" w:themeFillTint="80"/>
            <w:hideMark/>
          </w:tcPr>
          <w:p w14:paraId="69D5C664" w14:textId="77777777" w:rsidR="007158F2" w:rsidRPr="00F575ED" w:rsidRDefault="007158F2" w:rsidP="008E26E9">
            <w:pPr>
              <w:spacing w:after="160" w:line="278" w:lineRule="auto"/>
              <w:rPr>
                <w:b/>
                <w:bCs/>
              </w:rPr>
            </w:pPr>
            <w:r w:rsidRPr="008C70AB">
              <w:rPr>
                <w:b/>
                <w:bCs/>
              </w:rPr>
              <w:t xml:space="preserve">Illustrative Extract </w:t>
            </w:r>
          </w:p>
        </w:tc>
      </w:tr>
      <w:tr w:rsidR="007158F2" w:rsidRPr="00F575ED" w14:paraId="2DD933CE" w14:textId="77777777" w:rsidTr="008E26E9">
        <w:tc>
          <w:tcPr>
            <w:tcW w:w="0" w:type="auto"/>
            <w:hideMark/>
          </w:tcPr>
          <w:p w14:paraId="3D6786DE" w14:textId="77777777" w:rsidR="007158F2" w:rsidRPr="004204CB" w:rsidRDefault="007158F2" w:rsidP="008E26E9">
            <w:pPr>
              <w:spacing w:after="160" w:line="278" w:lineRule="auto"/>
              <w:rPr>
                <w:b/>
                <w:bCs/>
              </w:rPr>
            </w:pPr>
            <w:r w:rsidRPr="004204CB">
              <w:rPr>
                <w:b/>
                <w:bCs/>
              </w:rPr>
              <w:t>RQ2: To what extent did EDI strategies correspond with changes in gender pay gap and career progression outcomes (2020–2025)?</w:t>
            </w:r>
          </w:p>
        </w:tc>
        <w:tc>
          <w:tcPr>
            <w:tcW w:w="0" w:type="auto"/>
            <w:hideMark/>
          </w:tcPr>
          <w:p w14:paraId="47ADD9C0" w14:textId="77777777" w:rsidR="007158F2" w:rsidRPr="00F575ED" w:rsidRDefault="007158F2" w:rsidP="008E26E9">
            <w:pPr>
              <w:spacing w:after="160" w:line="278" w:lineRule="auto"/>
            </w:pPr>
            <w:r w:rsidRPr="00F575ED">
              <w:t>Trends in gender pay gap change</w:t>
            </w:r>
          </w:p>
        </w:tc>
        <w:tc>
          <w:tcPr>
            <w:tcW w:w="0" w:type="auto"/>
            <w:hideMark/>
          </w:tcPr>
          <w:p w14:paraId="73877230" w14:textId="77777777" w:rsidR="007158F2" w:rsidRPr="00F575ED" w:rsidRDefault="007158F2" w:rsidP="008E26E9">
            <w:pPr>
              <w:spacing w:after="160" w:line="278" w:lineRule="auto"/>
            </w:pPr>
            <w:r w:rsidRPr="00F575ED">
              <w:t>Median hourly gender pay gap (2020–21)</w:t>
            </w:r>
          </w:p>
        </w:tc>
        <w:tc>
          <w:tcPr>
            <w:tcW w:w="0" w:type="auto"/>
            <w:hideMark/>
          </w:tcPr>
          <w:p w14:paraId="2E349AAB" w14:textId="77777777" w:rsidR="007158F2" w:rsidRPr="00F575ED" w:rsidRDefault="007158F2" w:rsidP="008E26E9">
            <w:pPr>
              <w:spacing w:after="160" w:line="278" w:lineRule="auto"/>
            </w:pPr>
            <w:r w:rsidRPr="00F575ED">
              <w:t>3.2</w:t>
            </w:r>
          </w:p>
        </w:tc>
        <w:tc>
          <w:tcPr>
            <w:tcW w:w="0" w:type="auto"/>
            <w:hideMark/>
          </w:tcPr>
          <w:p w14:paraId="331E5615" w14:textId="77777777" w:rsidR="007158F2" w:rsidRPr="00F575ED" w:rsidRDefault="007158F2" w:rsidP="008E26E9">
            <w:pPr>
              <w:spacing w:after="160" w:line="278" w:lineRule="auto"/>
            </w:pPr>
            <w:r w:rsidRPr="00F575ED">
              <w:t>Median hourly pay gap: 11.8% (University of Manchester, 2021).</w:t>
            </w:r>
          </w:p>
        </w:tc>
      </w:tr>
      <w:tr w:rsidR="007158F2" w:rsidRPr="00F575ED" w14:paraId="19F3FE50" w14:textId="77777777" w:rsidTr="008E26E9">
        <w:tc>
          <w:tcPr>
            <w:tcW w:w="0" w:type="auto"/>
            <w:hideMark/>
          </w:tcPr>
          <w:p w14:paraId="00A526F4" w14:textId="77777777" w:rsidR="007158F2" w:rsidRPr="00F575ED" w:rsidRDefault="007158F2" w:rsidP="008E26E9">
            <w:pPr>
              <w:spacing w:after="160" w:line="278" w:lineRule="auto"/>
            </w:pPr>
            <w:r w:rsidRPr="00F575ED">
              <w:t>RQ2</w:t>
            </w:r>
          </w:p>
        </w:tc>
        <w:tc>
          <w:tcPr>
            <w:tcW w:w="0" w:type="auto"/>
            <w:hideMark/>
          </w:tcPr>
          <w:p w14:paraId="5AD40C32" w14:textId="77777777" w:rsidR="007158F2" w:rsidRPr="00F575ED" w:rsidRDefault="007158F2" w:rsidP="008E26E9">
            <w:pPr>
              <w:spacing w:after="160" w:line="278" w:lineRule="auto"/>
            </w:pPr>
            <w:r w:rsidRPr="00F575ED">
              <w:t>Trends in gender pay gap change</w:t>
            </w:r>
          </w:p>
        </w:tc>
        <w:tc>
          <w:tcPr>
            <w:tcW w:w="0" w:type="auto"/>
            <w:hideMark/>
          </w:tcPr>
          <w:p w14:paraId="13E4C4CB" w14:textId="77777777" w:rsidR="007158F2" w:rsidRPr="00F575ED" w:rsidRDefault="007158F2" w:rsidP="008E26E9">
            <w:pPr>
              <w:spacing w:after="160" w:line="278" w:lineRule="auto"/>
            </w:pPr>
            <w:r w:rsidRPr="00F575ED">
              <w:t>Median hourly gender pay gap (2021–22)</w:t>
            </w:r>
          </w:p>
        </w:tc>
        <w:tc>
          <w:tcPr>
            <w:tcW w:w="0" w:type="auto"/>
            <w:hideMark/>
          </w:tcPr>
          <w:p w14:paraId="4A5E4A88" w14:textId="77777777" w:rsidR="007158F2" w:rsidRPr="00F575ED" w:rsidRDefault="007158F2" w:rsidP="008E26E9">
            <w:pPr>
              <w:spacing w:after="160" w:line="278" w:lineRule="auto"/>
            </w:pPr>
            <w:r w:rsidRPr="00F575ED">
              <w:t>3.2</w:t>
            </w:r>
          </w:p>
        </w:tc>
        <w:tc>
          <w:tcPr>
            <w:tcW w:w="0" w:type="auto"/>
            <w:hideMark/>
          </w:tcPr>
          <w:p w14:paraId="1E5E1262" w14:textId="77777777" w:rsidR="007158F2" w:rsidRPr="00F575ED" w:rsidRDefault="007158F2" w:rsidP="008E26E9">
            <w:pPr>
              <w:spacing w:after="160" w:line="278" w:lineRule="auto"/>
            </w:pPr>
            <w:r w:rsidRPr="00F575ED">
              <w:t>Median hourly pay gap: 11.1% (University of Manchester, 2022).</w:t>
            </w:r>
          </w:p>
        </w:tc>
      </w:tr>
      <w:tr w:rsidR="007158F2" w:rsidRPr="00F575ED" w14:paraId="154E12BA" w14:textId="77777777" w:rsidTr="008E26E9">
        <w:tc>
          <w:tcPr>
            <w:tcW w:w="0" w:type="auto"/>
            <w:hideMark/>
          </w:tcPr>
          <w:p w14:paraId="40700C31" w14:textId="77777777" w:rsidR="007158F2" w:rsidRPr="00F575ED" w:rsidRDefault="007158F2" w:rsidP="008E26E9">
            <w:pPr>
              <w:spacing w:after="160" w:line="278" w:lineRule="auto"/>
            </w:pPr>
            <w:r w:rsidRPr="00F575ED">
              <w:t>RQ2</w:t>
            </w:r>
          </w:p>
        </w:tc>
        <w:tc>
          <w:tcPr>
            <w:tcW w:w="0" w:type="auto"/>
            <w:hideMark/>
          </w:tcPr>
          <w:p w14:paraId="2590986E" w14:textId="77777777" w:rsidR="007158F2" w:rsidRPr="00F575ED" w:rsidRDefault="007158F2" w:rsidP="008E26E9">
            <w:pPr>
              <w:spacing w:after="160" w:line="278" w:lineRule="auto"/>
            </w:pPr>
            <w:r w:rsidRPr="00F575ED">
              <w:t>Trends in gender pay gap change</w:t>
            </w:r>
          </w:p>
        </w:tc>
        <w:tc>
          <w:tcPr>
            <w:tcW w:w="0" w:type="auto"/>
            <w:hideMark/>
          </w:tcPr>
          <w:p w14:paraId="37348BA1" w14:textId="77777777" w:rsidR="007158F2" w:rsidRPr="00F575ED" w:rsidRDefault="007158F2" w:rsidP="008E26E9">
            <w:pPr>
              <w:spacing w:after="160" w:line="278" w:lineRule="auto"/>
            </w:pPr>
            <w:r w:rsidRPr="00F575ED">
              <w:t>Median hourly gender pay gap (2022–23)</w:t>
            </w:r>
          </w:p>
        </w:tc>
        <w:tc>
          <w:tcPr>
            <w:tcW w:w="0" w:type="auto"/>
            <w:hideMark/>
          </w:tcPr>
          <w:p w14:paraId="75DD66E4" w14:textId="77777777" w:rsidR="007158F2" w:rsidRPr="00F575ED" w:rsidRDefault="007158F2" w:rsidP="008E26E9">
            <w:pPr>
              <w:spacing w:after="160" w:line="278" w:lineRule="auto"/>
            </w:pPr>
            <w:r w:rsidRPr="00F575ED">
              <w:t>3.2</w:t>
            </w:r>
          </w:p>
        </w:tc>
        <w:tc>
          <w:tcPr>
            <w:tcW w:w="0" w:type="auto"/>
            <w:hideMark/>
          </w:tcPr>
          <w:p w14:paraId="49C13D00" w14:textId="77777777" w:rsidR="007158F2" w:rsidRPr="00F575ED" w:rsidRDefault="007158F2" w:rsidP="008E26E9">
            <w:pPr>
              <w:spacing w:after="160" w:line="278" w:lineRule="auto"/>
            </w:pPr>
            <w:r w:rsidRPr="00F575ED">
              <w:t>Median hourly pay gap: 10.5% (University of Manchester, 2023).</w:t>
            </w:r>
          </w:p>
        </w:tc>
      </w:tr>
      <w:tr w:rsidR="007158F2" w:rsidRPr="00F575ED" w14:paraId="60EE7030" w14:textId="77777777" w:rsidTr="008E26E9">
        <w:tc>
          <w:tcPr>
            <w:tcW w:w="0" w:type="auto"/>
            <w:hideMark/>
          </w:tcPr>
          <w:p w14:paraId="6F31285C" w14:textId="77777777" w:rsidR="007158F2" w:rsidRPr="00F575ED" w:rsidRDefault="007158F2" w:rsidP="008E26E9">
            <w:pPr>
              <w:spacing w:after="160" w:line="278" w:lineRule="auto"/>
            </w:pPr>
            <w:r w:rsidRPr="00F575ED">
              <w:t>RQ2</w:t>
            </w:r>
          </w:p>
        </w:tc>
        <w:tc>
          <w:tcPr>
            <w:tcW w:w="0" w:type="auto"/>
            <w:hideMark/>
          </w:tcPr>
          <w:p w14:paraId="4BE63381" w14:textId="77777777" w:rsidR="007158F2" w:rsidRPr="00F575ED" w:rsidRDefault="007158F2" w:rsidP="008E26E9">
            <w:pPr>
              <w:spacing w:after="160" w:line="278" w:lineRule="auto"/>
            </w:pPr>
            <w:r w:rsidRPr="00F575ED">
              <w:t>Trends in gender pay gap change</w:t>
            </w:r>
          </w:p>
        </w:tc>
        <w:tc>
          <w:tcPr>
            <w:tcW w:w="0" w:type="auto"/>
            <w:hideMark/>
          </w:tcPr>
          <w:p w14:paraId="5952ACDC" w14:textId="77777777" w:rsidR="007158F2" w:rsidRPr="00F575ED" w:rsidRDefault="007158F2" w:rsidP="008E26E9">
            <w:pPr>
              <w:spacing w:after="160" w:line="278" w:lineRule="auto"/>
            </w:pPr>
            <w:r w:rsidRPr="00F575ED">
              <w:t>Median hourly gender pay gap (2023–24)</w:t>
            </w:r>
          </w:p>
        </w:tc>
        <w:tc>
          <w:tcPr>
            <w:tcW w:w="0" w:type="auto"/>
            <w:hideMark/>
          </w:tcPr>
          <w:p w14:paraId="53BE5B52" w14:textId="77777777" w:rsidR="007158F2" w:rsidRPr="00F575ED" w:rsidRDefault="007158F2" w:rsidP="008E26E9">
            <w:pPr>
              <w:spacing w:after="160" w:line="278" w:lineRule="auto"/>
            </w:pPr>
            <w:r w:rsidRPr="00F575ED">
              <w:t>3.2</w:t>
            </w:r>
          </w:p>
        </w:tc>
        <w:tc>
          <w:tcPr>
            <w:tcW w:w="0" w:type="auto"/>
            <w:hideMark/>
          </w:tcPr>
          <w:p w14:paraId="48C24C1A" w14:textId="77777777" w:rsidR="007158F2" w:rsidRPr="00F575ED" w:rsidRDefault="007158F2" w:rsidP="008E26E9">
            <w:pPr>
              <w:spacing w:after="160" w:line="278" w:lineRule="auto"/>
            </w:pPr>
            <w:r w:rsidRPr="00F575ED">
              <w:t>Median hourly pay gap: 8.2% (University of Manchester, 2024).</w:t>
            </w:r>
          </w:p>
        </w:tc>
      </w:tr>
      <w:tr w:rsidR="007158F2" w:rsidRPr="00F575ED" w14:paraId="09CFAD79" w14:textId="77777777" w:rsidTr="008E26E9">
        <w:tc>
          <w:tcPr>
            <w:tcW w:w="0" w:type="auto"/>
            <w:hideMark/>
          </w:tcPr>
          <w:p w14:paraId="3652CD1C" w14:textId="77777777" w:rsidR="007158F2" w:rsidRPr="00F575ED" w:rsidRDefault="007158F2" w:rsidP="008E26E9">
            <w:pPr>
              <w:spacing w:after="160" w:line="278" w:lineRule="auto"/>
            </w:pPr>
            <w:r w:rsidRPr="00F575ED">
              <w:t>RQ2</w:t>
            </w:r>
          </w:p>
        </w:tc>
        <w:tc>
          <w:tcPr>
            <w:tcW w:w="0" w:type="auto"/>
            <w:hideMark/>
          </w:tcPr>
          <w:p w14:paraId="219385B0" w14:textId="77777777" w:rsidR="007158F2" w:rsidRPr="00F575ED" w:rsidRDefault="007158F2" w:rsidP="008E26E9">
            <w:pPr>
              <w:spacing w:after="160" w:line="278" w:lineRule="auto"/>
            </w:pPr>
            <w:r w:rsidRPr="00F575ED">
              <w:t>Trends in gender pay gap change</w:t>
            </w:r>
          </w:p>
        </w:tc>
        <w:tc>
          <w:tcPr>
            <w:tcW w:w="0" w:type="auto"/>
            <w:hideMark/>
          </w:tcPr>
          <w:p w14:paraId="337C7499" w14:textId="77777777" w:rsidR="007158F2" w:rsidRPr="00F575ED" w:rsidRDefault="007158F2" w:rsidP="008E26E9">
            <w:pPr>
              <w:spacing w:after="160" w:line="278" w:lineRule="auto"/>
            </w:pPr>
            <w:r w:rsidRPr="00F575ED">
              <w:t>Median hourly gender pay gap (2024–25)</w:t>
            </w:r>
          </w:p>
        </w:tc>
        <w:tc>
          <w:tcPr>
            <w:tcW w:w="0" w:type="auto"/>
            <w:hideMark/>
          </w:tcPr>
          <w:p w14:paraId="4891EC3F" w14:textId="77777777" w:rsidR="007158F2" w:rsidRPr="00F575ED" w:rsidRDefault="007158F2" w:rsidP="008E26E9">
            <w:pPr>
              <w:spacing w:after="160" w:line="278" w:lineRule="auto"/>
            </w:pPr>
            <w:r w:rsidRPr="00F575ED">
              <w:t>3.2</w:t>
            </w:r>
          </w:p>
        </w:tc>
        <w:tc>
          <w:tcPr>
            <w:tcW w:w="0" w:type="auto"/>
            <w:hideMark/>
          </w:tcPr>
          <w:p w14:paraId="2120FE7C" w14:textId="77777777" w:rsidR="007158F2" w:rsidRPr="00F575ED" w:rsidRDefault="007158F2" w:rsidP="008E26E9">
            <w:pPr>
              <w:spacing w:after="160" w:line="278" w:lineRule="auto"/>
            </w:pPr>
            <w:r w:rsidRPr="00F575ED">
              <w:t>Median hourly pay gap: 9.8% (University of Manchester, 2025).</w:t>
            </w:r>
          </w:p>
        </w:tc>
      </w:tr>
      <w:tr w:rsidR="007158F2" w:rsidRPr="00F575ED" w14:paraId="2F95739B" w14:textId="77777777" w:rsidTr="008E26E9">
        <w:tc>
          <w:tcPr>
            <w:tcW w:w="0" w:type="auto"/>
            <w:hideMark/>
          </w:tcPr>
          <w:p w14:paraId="7F3EA6F0" w14:textId="77777777" w:rsidR="007158F2" w:rsidRPr="00F575ED" w:rsidRDefault="007158F2" w:rsidP="008E26E9">
            <w:pPr>
              <w:spacing w:after="160" w:line="278" w:lineRule="auto"/>
            </w:pPr>
            <w:r w:rsidRPr="00F575ED">
              <w:t>RQ2</w:t>
            </w:r>
          </w:p>
        </w:tc>
        <w:tc>
          <w:tcPr>
            <w:tcW w:w="0" w:type="auto"/>
            <w:hideMark/>
          </w:tcPr>
          <w:p w14:paraId="219736EE" w14:textId="77777777" w:rsidR="007158F2" w:rsidRPr="00F575ED" w:rsidRDefault="007158F2" w:rsidP="008E26E9">
            <w:pPr>
              <w:spacing w:after="160" w:line="278" w:lineRule="auto"/>
            </w:pPr>
            <w:r w:rsidRPr="00F575ED">
              <w:t>Career progression outcomes</w:t>
            </w:r>
          </w:p>
        </w:tc>
        <w:tc>
          <w:tcPr>
            <w:tcW w:w="0" w:type="auto"/>
            <w:hideMark/>
          </w:tcPr>
          <w:p w14:paraId="4123181C" w14:textId="77777777" w:rsidR="007158F2" w:rsidRPr="00F575ED" w:rsidRDefault="007158F2" w:rsidP="008E26E9">
            <w:pPr>
              <w:spacing w:after="160" w:line="278" w:lineRule="auto"/>
            </w:pPr>
            <w:r w:rsidRPr="00F575ED">
              <w:t>Women in highest pay quartile (2020–21)</w:t>
            </w:r>
          </w:p>
        </w:tc>
        <w:tc>
          <w:tcPr>
            <w:tcW w:w="0" w:type="auto"/>
            <w:hideMark/>
          </w:tcPr>
          <w:p w14:paraId="7A60C73B" w14:textId="77777777" w:rsidR="007158F2" w:rsidRPr="00F575ED" w:rsidRDefault="007158F2" w:rsidP="008E26E9">
            <w:pPr>
              <w:spacing w:after="160" w:line="278" w:lineRule="auto"/>
            </w:pPr>
            <w:r w:rsidRPr="00F575ED">
              <w:t>3.2</w:t>
            </w:r>
          </w:p>
        </w:tc>
        <w:tc>
          <w:tcPr>
            <w:tcW w:w="0" w:type="auto"/>
            <w:hideMark/>
          </w:tcPr>
          <w:p w14:paraId="6DC81333" w14:textId="77777777" w:rsidR="007158F2" w:rsidRPr="00F575ED" w:rsidRDefault="007158F2" w:rsidP="008E26E9">
            <w:pPr>
              <w:spacing w:after="160" w:line="278" w:lineRule="auto"/>
            </w:pPr>
            <w:r w:rsidRPr="00F575ED">
              <w:t>Women in highest pay quartile: 40.8% (University of Manchester, 2021).</w:t>
            </w:r>
          </w:p>
        </w:tc>
      </w:tr>
      <w:tr w:rsidR="007158F2" w:rsidRPr="00F575ED" w14:paraId="67692EAD" w14:textId="77777777" w:rsidTr="008E26E9">
        <w:tc>
          <w:tcPr>
            <w:tcW w:w="0" w:type="auto"/>
            <w:hideMark/>
          </w:tcPr>
          <w:p w14:paraId="1380C054" w14:textId="77777777" w:rsidR="007158F2" w:rsidRPr="00F575ED" w:rsidRDefault="007158F2" w:rsidP="008E26E9">
            <w:pPr>
              <w:spacing w:after="160" w:line="278" w:lineRule="auto"/>
            </w:pPr>
            <w:r w:rsidRPr="00F575ED">
              <w:t>RQ2</w:t>
            </w:r>
          </w:p>
        </w:tc>
        <w:tc>
          <w:tcPr>
            <w:tcW w:w="0" w:type="auto"/>
            <w:hideMark/>
          </w:tcPr>
          <w:p w14:paraId="4D5F00C6" w14:textId="77777777" w:rsidR="007158F2" w:rsidRPr="00F575ED" w:rsidRDefault="007158F2" w:rsidP="008E26E9">
            <w:pPr>
              <w:spacing w:after="160" w:line="278" w:lineRule="auto"/>
            </w:pPr>
            <w:r w:rsidRPr="00F575ED">
              <w:t>Career progression outcomes</w:t>
            </w:r>
          </w:p>
        </w:tc>
        <w:tc>
          <w:tcPr>
            <w:tcW w:w="0" w:type="auto"/>
            <w:hideMark/>
          </w:tcPr>
          <w:p w14:paraId="50AD96DA" w14:textId="77777777" w:rsidR="007158F2" w:rsidRPr="00F575ED" w:rsidRDefault="007158F2" w:rsidP="008E26E9">
            <w:pPr>
              <w:spacing w:after="160" w:line="278" w:lineRule="auto"/>
            </w:pPr>
            <w:r w:rsidRPr="00F575ED">
              <w:t xml:space="preserve">Women in highest pay </w:t>
            </w:r>
            <w:r w:rsidRPr="00F575ED">
              <w:lastRenderedPageBreak/>
              <w:t>quartile (2021–22)</w:t>
            </w:r>
          </w:p>
        </w:tc>
        <w:tc>
          <w:tcPr>
            <w:tcW w:w="0" w:type="auto"/>
            <w:hideMark/>
          </w:tcPr>
          <w:p w14:paraId="2E810AC1" w14:textId="77777777" w:rsidR="007158F2" w:rsidRPr="00F575ED" w:rsidRDefault="007158F2" w:rsidP="008E26E9">
            <w:pPr>
              <w:spacing w:after="160" w:line="278" w:lineRule="auto"/>
            </w:pPr>
            <w:r w:rsidRPr="00F575ED">
              <w:lastRenderedPageBreak/>
              <w:t>3.2</w:t>
            </w:r>
          </w:p>
        </w:tc>
        <w:tc>
          <w:tcPr>
            <w:tcW w:w="0" w:type="auto"/>
            <w:hideMark/>
          </w:tcPr>
          <w:p w14:paraId="2786549F" w14:textId="77777777" w:rsidR="007158F2" w:rsidRPr="00F575ED" w:rsidRDefault="007158F2" w:rsidP="008E26E9">
            <w:pPr>
              <w:spacing w:after="160" w:line="278" w:lineRule="auto"/>
            </w:pPr>
            <w:r w:rsidRPr="00F575ED">
              <w:t xml:space="preserve">Women in highest pay quartile: 41.8% (University </w:t>
            </w:r>
            <w:r w:rsidRPr="00F575ED">
              <w:lastRenderedPageBreak/>
              <w:t>of Manchester, 2022).</w:t>
            </w:r>
          </w:p>
        </w:tc>
      </w:tr>
      <w:tr w:rsidR="007158F2" w:rsidRPr="00F575ED" w14:paraId="7A3EBA42" w14:textId="77777777" w:rsidTr="008E26E9">
        <w:tc>
          <w:tcPr>
            <w:tcW w:w="0" w:type="auto"/>
            <w:hideMark/>
          </w:tcPr>
          <w:p w14:paraId="493097A9" w14:textId="77777777" w:rsidR="007158F2" w:rsidRPr="00F575ED" w:rsidRDefault="007158F2" w:rsidP="008E26E9">
            <w:pPr>
              <w:spacing w:after="160" w:line="278" w:lineRule="auto"/>
            </w:pPr>
            <w:r w:rsidRPr="00F575ED">
              <w:lastRenderedPageBreak/>
              <w:t>RQ2</w:t>
            </w:r>
          </w:p>
        </w:tc>
        <w:tc>
          <w:tcPr>
            <w:tcW w:w="0" w:type="auto"/>
            <w:hideMark/>
          </w:tcPr>
          <w:p w14:paraId="68370F0D" w14:textId="77777777" w:rsidR="007158F2" w:rsidRPr="00F575ED" w:rsidRDefault="007158F2" w:rsidP="008E26E9">
            <w:pPr>
              <w:spacing w:after="160" w:line="278" w:lineRule="auto"/>
            </w:pPr>
            <w:r w:rsidRPr="00F575ED">
              <w:t>Career progression outcomes</w:t>
            </w:r>
          </w:p>
        </w:tc>
        <w:tc>
          <w:tcPr>
            <w:tcW w:w="0" w:type="auto"/>
            <w:hideMark/>
          </w:tcPr>
          <w:p w14:paraId="23494BB4" w14:textId="77777777" w:rsidR="007158F2" w:rsidRPr="00F575ED" w:rsidRDefault="007158F2" w:rsidP="008E26E9">
            <w:pPr>
              <w:spacing w:after="160" w:line="278" w:lineRule="auto"/>
            </w:pPr>
            <w:r w:rsidRPr="00F575ED">
              <w:t>Women in highest pay quartile (2022–23)</w:t>
            </w:r>
          </w:p>
        </w:tc>
        <w:tc>
          <w:tcPr>
            <w:tcW w:w="0" w:type="auto"/>
            <w:hideMark/>
          </w:tcPr>
          <w:p w14:paraId="4DE9F408" w14:textId="77777777" w:rsidR="007158F2" w:rsidRPr="00F575ED" w:rsidRDefault="007158F2" w:rsidP="008E26E9">
            <w:pPr>
              <w:spacing w:after="160" w:line="278" w:lineRule="auto"/>
            </w:pPr>
            <w:r w:rsidRPr="00F575ED">
              <w:t>3.2</w:t>
            </w:r>
          </w:p>
        </w:tc>
        <w:tc>
          <w:tcPr>
            <w:tcW w:w="0" w:type="auto"/>
            <w:hideMark/>
          </w:tcPr>
          <w:p w14:paraId="2343C73A" w14:textId="77777777" w:rsidR="007158F2" w:rsidRPr="00F575ED" w:rsidRDefault="007158F2" w:rsidP="008E26E9">
            <w:pPr>
              <w:spacing w:after="160" w:line="278" w:lineRule="auto"/>
            </w:pPr>
            <w:r w:rsidRPr="00F575ED">
              <w:t>Women in highest pay quartile: 41.9% (University of Manchester, 2023).</w:t>
            </w:r>
          </w:p>
        </w:tc>
      </w:tr>
      <w:tr w:rsidR="007158F2" w:rsidRPr="00F575ED" w14:paraId="15881A60" w14:textId="77777777" w:rsidTr="008E26E9">
        <w:tc>
          <w:tcPr>
            <w:tcW w:w="0" w:type="auto"/>
            <w:hideMark/>
          </w:tcPr>
          <w:p w14:paraId="537C6D09" w14:textId="77777777" w:rsidR="007158F2" w:rsidRPr="00F575ED" w:rsidRDefault="007158F2" w:rsidP="008E26E9">
            <w:pPr>
              <w:spacing w:after="160" w:line="278" w:lineRule="auto"/>
            </w:pPr>
            <w:r w:rsidRPr="00F575ED">
              <w:t>RQ2</w:t>
            </w:r>
          </w:p>
        </w:tc>
        <w:tc>
          <w:tcPr>
            <w:tcW w:w="0" w:type="auto"/>
            <w:hideMark/>
          </w:tcPr>
          <w:p w14:paraId="676FE43C" w14:textId="77777777" w:rsidR="007158F2" w:rsidRPr="00F575ED" w:rsidRDefault="007158F2" w:rsidP="008E26E9">
            <w:pPr>
              <w:spacing w:after="160" w:line="278" w:lineRule="auto"/>
            </w:pPr>
            <w:r w:rsidRPr="00F575ED">
              <w:t>Career progression outcomes</w:t>
            </w:r>
          </w:p>
        </w:tc>
        <w:tc>
          <w:tcPr>
            <w:tcW w:w="0" w:type="auto"/>
            <w:hideMark/>
          </w:tcPr>
          <w:p w14:paraId="4A93B633" w14:textId="77777777" w:rsidR="007158F2" w:rsidRPr="00F575ED" w:rsidRDefault="007158F2" w:rsidP="008E26E9">
            <w:pPr>
              <w:spacing w:after="160" w:line="278" w:lineRule="auto"/>
            </w:pPr>
            <w:r w:rsidRPr="00F575ED">
              <w:t>Women in highest pay quartile (2023–24)</w:t>
            </w:r>
          </w:p>
        </w:tc>
        <w:tc>
          <w:tcPr>
            <w:tcW w:w="0" w:type="auto"/>
            <w:hideMark/>
          </w:tcPr>
          <w:p w14:paraId="1FC1ABA7" w14:textId="77777777" w:rsidR="007158F2" w:rsidRPr="00F575ED" w:rsidRDefault="007158F2" w:rsidP="008E26E9">
            <w:pPr>
              <w:spacing w:after="160" w:line="278" w:lineRule="auto"/>
            </w:pPr>
            <w:r w:rsidRPr="00F575ED">
              <w:t>3.2</w:t>
            </w:r>
          </w:p>
        </w:tc>
        <w:tc>
          <w:tcPr>
            <w:tcW w:w="0" w:type="auto"/>
            <w:hideMark/>
          </w:tcPr>
          <w:p w14:paraId="63E2F970" w14:textId="77777777" w:rsidR="007158F2" w:rsidRPr="00F575ED" w:rsidRDefault="007158F2" w:rsidP="008E26E9">
            <w:pPr>
              <w:spacing w:after="160" w:line="278" w:lineRule="auto"/>
            </w:pPr>
            <w:r w:rsidRPr="00F575ED">
              <w:t>Women in highest pay quartile: 42.4% (University of Manchester, 2024).</w:t>
            </w:r>
          </w:p>
        </w:tc>
      </w:tr>
      <w:tr w:rsidR="007158F2" w:rsidRPr="00F575ED" w14:paraId="6B728A4C" w14:textId="77777777" w:rsidTr="008E26E9">
        <w:tc>
          <w:tcPr>
            <w:tcW w:w="0" w:type="auto"/>
            <w:hideMark/>
          </w:tcPr>
          <w:p w14:paraId="2168A2CD" w14:textId="77777777" w:rsidR="007158F2" w:rsidRPr="00F575ED" w:rsidRDefault="007158F2" w:rsidP="008E26E9">
            <w:pPr>
              <w:spacing w:after="160" w:line="278" w:lineRule="auto"/>
            </w:pPr>
            <w:r w:rsidRPr="00F575ED">
              <w:t>RQ2</w:t>
            </w:r>
          </w:p>
        </w:tc>
        <w:tc>
          <w:tcPr>
            <w:tcW w:w="0" w:type="auto"/>
            <w:hideMark/>
          </w:tcPr>
          <w:p w14:paraId="463A68B7" w14:textId="77777777" w:rsidR="007158F2" w:rsidRPr="00F575ED" w:rsidRDefault="007158F2" w:rsidP="008E26E9">
            <w:pPr>
              <w:spacing w:after="160" w:line="278" w:lineRule="auto"/>
            </w:pPr>
            <w:r w:rsidRPr="00F575ED">
              <w:t>Career progression outcomes</w:t>
            </w:r>
          </w:p>
        </w:tc>
        <w:tc>
          <w:tcPr>
            <w:tcW w:w="0" w:type="auto"/>
            <w:hideMark/>
          </w:tcPr>
          <w:p w14:paraId="49D010F1" w14:textId="77777777" w:rsidR="007158F2" w:rsidRPr="00F575ED" w:rsidRDefault="007158F2" w:rsidP="008E26E9">
            <w:pPr>
              <w:spacing w:after="160" w:line="278" w:lineRule="auto"/>
            </w:pPr>
            <w:r w:rsidRPr="00F575ED">
              <w:t>Women in highest pay quartile (2024–25)</w:t>
            </w:r>
          </w:p>
        </w:tc>
        <w:tc>
          <w:tcPr>
            <w:tcW w:w="0" w:type="auto"/>
            <w:hideMark/>
          </w:tcPr>
          <w:p w14:paraId="4E26CCEF" w14:textId="77777777" w:rsidR="007158F2" w:rsidRPr="00F575ED" w:rsidRDefault="007158F2" w:rsidP="008E26E9">
            <w:pPr>
              <w:spacing w:after="160" w:line="278" w:lineRule="auto"/>
            </w:pPr>
            <w:r w:rsidRPr="00F575ED">
              <w:t>3.2</w:t>
            </w:r>
          </w:p>
        </w:tc>
        <w:tc>
          <w:tcPr>
            <w:tcW w:w="0" w:type="auto"/>
            <w:hideMark/>
          </w:tcPr>
          <w:p w14:paraId="4190CF6E" w14:textId="77777777" w:rsidR="007158F2" w:rsidRPr="00F575ED" w:rsidRDefault="007158F2" w:rsidP="008E26E9">
            <w:pPr>
              <w:spacing w:after="160" w:line="278" w:lineRule="auto"/>
            </w:pPr>
            <w:r w:rsidRPr="00F575ED">
              <w:t>Women in highest pay quartile: 43.9% (University of Manchester, 2025).</w:t>
            </w:r>
          </w:p>
        </w:tc>
      </w:tr>
    </w:tbl>
    <w:p w14:paraId="24306F8F" w14:textId="77777777" w:rsidR="007158F2" w:rsidRDefault="007158F2" w:rsidP="007158F2">
      <w:pPr>
        <w:rPr>
          <w:lang w:val="en-US"/>
        </w:rPr>
      </w:pPr>
    </w:p>
    <w:p w14:paraId="6936C7FD" w14:textId="77777777" w:rsidR="007158F2" w:rsidRDefault="007158F2" w:rsidP="007158F2">
      <w:pPr>
        <w:rPr>
          <w:b/>
          <w:bCs/>
          <w:sz w:val="24"/>
          <w:szCs w:val="24"/>
        </w:rPr>
      </w:pPr>
    </w:p>
    <w:p w14:paraId="713494CB" w14:textId="67247E3B" w:rsidR="007158F2" w:rsidRPr="00985C38" w:rsidRDefault="007158F2" w:rsidP="007158F2">
      <w:pPr>
        <w:rPr>
          <w:b/>
          <w:bCs/>
          <w:sz w:val="24"/>
          <w:szCs w:val="24"/>
        </w:rPr>
      </w:pPr>
      <w:r w:rsidRPr="00985C38">
        <w:rPr>
          <w:b/>
          <w:bCs/>
          <w:sz w:val="24"/>
          <w:szCs w:val="24"/>
        </w:rPr>
        <w:t>Table A3.3: Overview of Quantitative Data Underpinning RQ2 – Manchester Metropolitan University (2020–2025)</w:t>
      </w:r>
    </w:p>
    <w:tbl>
      <w:tblPr>
        <w:tblStyle w:val="TableGrid"/>
        <w:tblW w:w="0" w:type="auto"/>
        <w:tblLook w:val="04A0" w:firstRow="1" w:lastRow="0" w:firstColumn="1" w:lastColumn="0" w:noHBand="0" w:noVBand="1"/>
      </w:tblPr>
      <w:tblGrid>
        <w:gridCol w:w="2548"/>
        <w:gridCol w:w="1547"/>
        <w:gridCol w:w="1249"/>
        <w:gridCol w:w="1241"/>
        <w:gridCol w:w="2431"/>
      </w:tblGrid>
      <w:tr w:rsidR="007158F2" w:rsidRPr="00B252DE" w14:paraId="7171E85A" w14:textId="77777777" w:rsidTr="008E26E9">
        <w:tc>
          <w:tcPr>
            <w:tcW w:w="0" w:type="auto"/>
            <w:shd w:val="clear" w:color="auto" w:fill="4C94D8" w:themeFill="text2" w:themeFillTint="80"/>
            <w:hideMark/>
          </w:tcPr>
          <w:p w14:paraId="093D1368" w14:textId="77777777" w:rsidR="007158F2" w:rsidRPr="00B252DE" w:rsidRDefault="007158F2" w:rsidP="008E26E9">
            <w:pPr>
              <w:spacing w:after="160" w:line="278" w:lineRule="auto"/>
              <w:rPr>
                <w:b/>
                <w:bCs/>
              </w:rPr>
            </w:pPr>
            <w:r w:rsidRPr="00B252DE">
              <w:rPr>
                <w:b/>
                <w:bCs/>
              </w:rPr>
              <w:t>Research Question</w:t>
            </w:r>
          </w:p>
        </w:tc>
        <w:tc>
          <w:tcPr>
            <w:tcW w:w="0" w:type="auto"/>
            <w:shd w:val="clear" w:color="auto" w:fill="4C94D8" w:themeFill="text2" w:themeFillTint="80"/>
            <w:hideMark/>
          </w:tcPr>
          <w:p w14:paraId="071E2060" w14:textId="77777777" w:rsidR="007158F2" w:rsidRPr="00B252DE" w:rsidRDefault="007158F2" w:rsidP="008E26E9">
            <w:pPr>
              <w:spacing w:after="160" w:line="278" w:lineRule="auto"/>
              <w:rPr>
                <w:b/>
                <w:bCs/>
              </w:rPr>
            </w:pPr>
            <w:r w:rsidRPr="00B252DE">
              <w:rPr>
                <w:b/>
                <w:bCs/>
              </w:rPr>
              <w:t>Main Theme</w:t>
            </w:r>
          </w:p>
        </w:tc>
        <w:tc>
          <w:tcPr>
            <w:tcW w:w="0" w:type="auto"/>
            <w:shd w:val="clear" w:color="auto" w:fill="4C94D8" w:themeFill="text2" w:themeFillTint="80"/>
            <w:hideMark/>
          </w:tcPr>
          <w:p w14:paraId="29CCC111" w14:textId="77777777" w:rsidR="007158F2" w:rsidRPr="00B252DE" w:rsidRDefault="007158F2" w:rsidP="008E26E9">
            <w:pPr>
              <w:spacing w:after="160" w:line="278" w:lineRule="auto"/>
              <w:rPr>
                <w:b/>
                <w:bCs/>
              </w:rPr>
            </w:pPr>
            <w:r w:rsidRPr="00B252DE">
              <w:rPr>
                <w:b/>
                <w:bCs/>
              </w:rPr>
              <w:t>Sub-theme / Code</w:t>
            </w:r>
          </w:p>
        </w:tc>
        <w:tc>
          <w:tcPr>
            <w:tcW w:w="0" w:type="auto"/>
            <w:shd w:val="clear" w:color="auto" w:fill="4C94D8" w:themeFill="text2" w:themeFillTint="80"/>
            <w:hideMark/>
          </w:tcPr>
          <w:p w14:paraId="2F1779E0" w14:textId="77777777" w:rsidR="007158F2" w:rsidRPr="00B252DE" w:rsidRDefault="007158F2" w:rsidP="008E26E9">
            <w:pPr>
              <w:spacing w:after="160" w:line="278" w:lineRule="auto"/>
              <w:rPr>
                <w:b/>
                <w:bCs/>
              </w:rPr>
            </w:pPr>
            <w:r w:rsidRPr="00B252DE">
              <w:rPr>
                <w:b/>
                <w:bCs/>
              </w:rPr>
              <w:t>Findings Section Ref</w:t>
            </w:r>
          </w:p>
        </w:tc>
        <w:tc>
          <w:tcPr>
            <w:tcW w:w="0" w:type="auto"/>
            <w:shd w:val="clear" w:color="auto" w:fill="4C94D8" w:themeFill="text2" w:themeFillTint="80"/>
            <w:hideMark/>
          </w:tcPr>
          <w:p w14:paraId="32AB51E7" w14:textId="77777777" w:rsidR="007158F2" w:rsidRPr="00B252DE" w:rsidRDefault="007158F2" w:rsidP="008E26E9">
            <w:pPr>
              <w:spacing w:after="160" w:line="278" w:lineRule="auto"/>
              <w:rPr>
                <w:b/>
                <w:bCs/>
              </w:rPr>
            </w:pPr>
            <w:r w:rsidRPr="008C70AB">
              <w:rPr>
                <w:b/>
                <w:bCs/>
              </w:rPr>
              <w:t xml:space="preserve">Illustrative Extract </w:t>
            </w:r>
          </w:p>
        </w:tc>
      </w:tr>
      <w:tr w:rsidR="007158F2" w:rsidRPr="008C70AB" w14:paraId="5BBFB557" w14:textId="77777777" w:rsidTr="008E26E9">
        <w:tc>
          <w:tcPr>
            <w:tcW w:w="0" w:type="auto"/>
            <w:hideMark/>
          </w:tcPr>
          <w:p w14:paraId="39EBB1F1" w14:textId="77777777" w:rsidR="007158F2" w:rsidRPr="004204CB" w:rsidRDefault="007158F2" w:rsidP="008E26E9">
            <w:pPr>
              <w:spacing w:after="160" w:line="278" w:lineRule="auto"/>
              <w:rPr>
                <w:b/>
                <w:bCs/>
              </w:rPr>
            </w:pPr>
            <w:r w:rsidRPr="004204CB">
              <w:rPr>
                <w:b/>
                <w:bCs/>
              </w:rPr>
              <w:t>RQ2: To what extent did EDI strategies correspond with changes in gender pay gap and career progression outcomes (2020–2025)?</w:t>
            </w:r>
          </w:p>
        </w:tc>
        <w:tc>
          <w:tcPr>
            <w:tcW w:w="0" w:type="auto"/>
            <w:hideMark/>
          </w:tcPr>
          <w:p w14:paraId="22163E19" w14:textId="77777777" w:rsidR="007158F2" w:rsidRPr="008C70AB" w:rsidRDefault="007158F2" w:rsidP="008E26E9">
            <w:pPr>
              <w:spacing w:after="160" w:line="278" w:lineRule="auto"/>
            </w:pPr>
            <w:r w:rsidRPr="008C70AB">
              <w:t>Trends in gender pay gap change</w:t>
            </w:r>
          </w:p>
        </w:tc>
        <w:tc>
          <w:tcPr>
            <w:tcW w:w="0" w:type="auto"/>
            <w:hideMark/>
          </w:tcPr>
          <w:p w14:paraId="4A590CDD" w14:textId="77777777" w:rsidR="007158F2" w:rsidRPr="008C70AB" w:rsidRDefault="007158F2" w:rsidP="008E26E9">
            <w:pPr>
              <w:spacing w:after="160" w:line="278" w:lineRule="auto"/>
            </w:pPr>
            <w:r w:rsidRPr="008C70AB">
              <w:t>Median hourly gender pay gap (2020–21)</w:t>
            </w:r>
          </w:p>
        </w:tc>
        <w:tc>
          <w:tcPr>
            <w:tcW w:w="0" w:type="auto"/>
            <w:hideMark/>
          </w:tcPr>
          <w:p w14:paraId="554F5493" w14:textId="77777777" w:rsidR="007158F2" w:rsidRPr="008C70AB" w:rsidRDefault="007158F2" w:rsidP="008E26E9">
            <w:pPr>
              <w:spacing w:after="160" w:line="278" w:lineRule="auto"/>
            </w:pPr>
            <w:r w:rsidRPr="008C70AB">
              <w:t>3.2</w:t>
            </w:r>
          </w:p>
        </w:tc>
        <w:tc>
          <w:tcPr>
            <w:tcW w:w="0" w:type="auto"/>
            <w:hideMark/>
          </w:tcPr>
          <w:p w14:paraId="5F6C6085" w14:textId="77777777" w:rsidR="007158F2" w:rsidRPr="008C70AB" w:rsidRDefault="007158F2" w:rsidP="008E26E9">
            <w:pPr>
              <w:spacing w:after="160" w:line="278" w:lineRule="auto"/>
            </w:pPr>
            <w:r w:rsidRPr="008C70AB">
              <w:t>Median hourly pay gap: 2.6% (Manchester Metropolitan University gender pay gap report for 2020–21 reporting year, 2020).</w:t>
            </w:r>
          </w:p>
        </w:tc>
      </w:tr>
      <w:tr w:rsidR="007158F2" w:rsidRPr="008C70AB" w14:paraId="35370F56" w14:textId="77777777" w:rsidTr="008E26E9">
        <w:tc>
          <w:tcPr>
            <w:tcW w:w="0" w:type="auto"/>
            <w:hideMark/>
          </w:tcPr>
          <w:p w14:paraId="649CC171" w14:textId="77777777" w:rsidR="007158F2" w:rsidRPr="008C70AB" w:rsidRDefault="007158F2" w:rsidP="008E26E9">
            <w:pPr>
              <w:spacing w:after="160" w:line="278" w:lineRule="auto"/>
            </w:pPr>
            <w:r w:rsidRPr="008C70AB">
              <w:t>RQ2</w:t>
            </w:r>
          </w:p>
        </w:tc>
        <w:tc>
          <w:tcPr>
            <w:tcW w:w="0" w:type="auto"/>
            <w:hideMark/>
          </w:tcPr>
          <w:p w14:paraId="6CB5E909" w14:textId="77777777" w:rsidR="007158F2" w:rsidRPr="008C70AB" w:rsidRDefault="007158F2" w:rsidP="008E26E9">
            <w:pPr>
              <w:spacing w:after="160" w:line="278" w:lineRule="auto"/>
            </w:pPr>
            <w:r w:rsidRPr="008C70AB">
              <w:t>Trends in gender pay gap change</w:t>
            </w:r>
          </w:p>
        </w:tc>
        <w:tc>
          <w:tcPr>
            <w:tcW w:w="0" w:type="auto"/>
            <w:hideMark/>
          </w:tcPr>
          <w:p w14:paraId="19B9E812" w14:textId="77777777" w:rsidR="007158F2" w:rsidRPr="008C70AB" w:rsidRDefault="007158F2" w:rsidP="008E26E9">
            <w:pPr>
              <w:spacing w:after="160" w:line="278" w:lineRule="auto"/>
            </w:pPr>
            <w:r w:rsidRPr="008C70AB">
              <w:t>Median hourly gender pay gap (2021–22)</w:t>
            </w:r>
          </w:p>
        </w:tc>
        <w:tc>
          <w:tcPr>
            <w:tcW w:w="0" w:type="auto"/>
            <w:hideMark/>
          </w:tcPr>
          <w:p w14:paraId="0C08C04D" w14:textId="77777777" w:rsidR="007158F2" w:rsidRPr="008C70AB" w:rsidRDefault="007158F2" w:rsidP="008E26E9">
            <w:pPr>
              <w:spacing w:after="160" w:line="278" w:lineRule="auto"/>
            </w:pPr>
            <w:r w:rsidRPr="008C70AB">
              <w:t>3.2</w:t>
            </w:r>
          </w:p>
        </w:tc>
        <w:tc>
          <w:tcPr>
            <w:tcW w:w="0" w:type="auto"/>
            <w:hideMark/>
          </w:tcPr>
          <w:p w14:paraId="46C60192" w14:textId="77777777" w:rsidR="007158F2" w:rsidRPr="008C70AB" w:rsidRDefault="007158F2" w:rsidP="008E26E9">
            <w:pPr>
              <w:spacing w:after="160" w:line="278" w:lineRule="auto"/>
            </w:pPr>
            <w:r w:rsidRPr="008C70AB">
              <w:t>Median hourly pay gap: 3.2% (Manchester Metropolitan University gender pay gap report for 2021–22 reporting year, 2021).</w:t>
            </w:r>
          </w:p>
        </w:tc>
      </w:tr>
      <w:tr w:rsidR="007158F2" w:rsidRPr="008C70AB" w14:paraId="06429B9D" w14:textId="77777777" w:rsidTr="008E26E9">
        <w:tc>
          <w:tcPr>
            <w:tcW w:w="0" w:type="auto"/>
            <w:hideMark/>
          </w:tcPr>
          <w:p w14:paraId="1C543328" w14:textId="77777777" w:rsidR="007158F2" w:rsidRPr="008C70AB" w:rsidRDefault="007158F2" w:rsidP="008E26E9">
            <w:pPr>
              <w:spacing w:after="160" w:line="278" w:lineRule="auto"/>
            </w:pPr>
            <w:r w:rsidRPr="008C70AB">
              <w:lastRenderedPageBreak/>
              <w:t>RQ2</w:t>
            </w:r>
          </w:p>
        </w:tc>
        <w:tc>
          <w:tcPr>
            <w:tcW w:w="0" w:type="auto"/>
            <w:hideMark/>
          </w:tcPr>
          <w:p w14:paraId="653B41FF" w14:textId="77777777" w:rsidR="007158F2" w:rsidRPr="008C70AB" w:rsidRDefault="007158F2" w:rsidP="008E26E9">
            <w:pPr>
              <w:spacing w:after="160" w:line="278" w:lineRule="auto"/>
            </w:pPr>
            <w:r w:rsidRPr="008C70AB">
              <w:t>Trends in gender pay gap change</w:t>
            </w:r>
          </w:p>
        </w:tc>
        <w:tc>
          <w:tcPr>
            <w:tcW w:w="0" w:type="auto"/>
            <w:hideMark/>
          </w:tcPr>
          <w:p w14:paraId="2D5FC3E1" w14:textId="77777777" w:rsidR="007158F2" w:rsidRPr="008C70AB" w:rsidRDefault="007158F2" w:rsidP="008E26E9">
            <w:pPr>
              <w:spacing w:after="160" w:line="278" w:lineRule="auto"/>
            </w:pPr>
            <w:r w:rsidRPr="008C70AB">
              <w:t>Median hourly gender pay gap (2022–23)</w:t>
            </w:r>
          </w:p>
        </w:tc>
        <w:tc>
          <w:tcPr>
            <w:tcW w:w="0" w:type="auto"/>
            <w:hideMark/>
          </w:tcPr>
          <w:p w14:paraId="4DEA6C53" w14:textId="77777777" w:rsidR="007158F2" w:rsidRPr="008C70AB" w:rsidRDefault="007158F2" w:rsidP="008E26E9">
            <w:pPr>
              <w:spacing w:after="160" w:line="278" w:lineRule="auto"/>
            </w:pPr>
            <w:r w:rsidRPr="008C70AB">
              <w:t>3.2</w:t>
            </w:r>
          </w:p>
        </w:tc>
        <w:tc>
          <w:tcPr>
            <w:tcW w:w="0" w:type="auto"/>
            <w:hideMark/>
          </w:tcPr>
          <w:p w14:paraId="354A80F9" w14:textId="77777777" w:rsidR="007158F2" w:rsidRPr="008C70AB" w:rsidRDefault="007158F2" w:rsidP="008E26E9">
            <w:pPr>
              <w:spacing w:after="160" w:line="278" w:lineRule="auto"/>
            </w:pPr>
            <w:r w:rsidRPr="008C70AB">
              <w:t>Median hourly pay gap: 4.5% (Manchester Metropolitan University gender pay gap report for 2022–23 reporting year, 2022).</w:t>
            </w:r>
          </w:p>
        </w:tc>
      </w:tr>
      <w:tr w:rsidR="007158F2" w:rsidRPr="008C70AB" w14:paraId="404F2B44" w14:textId="77777777" w:rsidTr="008E26E9">
        <w:tc>
          <w:tcPr>
            <w:tcW w:w="0" w:type="auto"/>
            <w:hideMark/>
          </w:tcPr>
          <w:p w14:paraId="445890A1" w14:textId="77777777" w:rsidR="007158F2" w:rsidRPr="008C70AB" w:rsidRDefault="007158F2" w:rsidP="008E26E9">
            <w:pPr>
              <w:spacing w:after="160" w:line="278" w:lineRule="auto"/>
            </w:pPr>
            <w:r w:rsidRPr="008C70AB">
              <w:t>RQ2</w:t>
            </w:r>
          </w:p>
        </w:tc>
        <w:tc>
          <w:tcPr>
            <w:tcW w:w="0" w:type="auto"/>
            <w:hideMark/>
          </w:tcPr>
          <w:p w14:paraId="14B14BFB" w14:textId="77777777" w:rsidR="007158F2" w:rsidRPr="008C70AB" w:rsidRDefault="007158F2" w:rsidP="008E26E9">
            <w:pPr>
              <w:spacing w:after="160" w:line="278" w:lineRule="auto"/>
            </w:pPr>
            <w:r w:rsidRPr="008C70AB">
              <w:t>Trends in gender pay gap change</w:t>
            </w:r>
          </w:p>
        </w:tc>
        <w:tc>
          <w:tcPr>
            <w:tcW w:w="0" w:type="auto"/>
            <w:hideMark/>
          </w:tcPr>
          <w:p w14:paraId="70BC8757" w14:textId="77777777" w:rsidR="007158F2" w:rsidRPr="008C70AB" w:rsidRDefault="007158F2" w:rsidP="008E26E9">
            <w:pPr>
              <w:spacing w:after="160" w:line="278" w:lineRule="auto"/>
            </w:pPr>
            <w:r w:rsidRPr="008C70AB">
              <w:t>Median hourly gender pay gap (2023–24)</w:t>
            </w:r>
          </w:p>
        </w:tc>
        <w:tc>
          <w:tcPr>
            <w:tcW w:w="0" w:type="auto"/>
            <w:hideMark/>
          </w:tcPr>
          <w:p w14:paraId="0BA1066D" w14:textId="77777777" w:rsidR="007158F2" w:rsidRPr="008C70AB" w:rsidRDefault="007158F2" w:rsidP="008E26E9">
            <w:pPr>
              <w:spacing w:after="160" w:line="278" w:lineRule="auto"/>
            </w:pPr>
            <w:r w:rsidRPr="008C70AB">
              <w:t>3.2</w:t>
            </w:r>
          </w:p>
        </w:tc>
        <w:tc>
          <w:tcPr>
            <w:tcW w:w="0" w:type="auto"/>
            <w:hideMark/>
          </w:tcPr>
          <w:p w14:paraId="3B8033C7" w14:textId="77777777" w:rsidR="007158F2" w:rsidRPr="008C70AB" w:rsidRDefault="007158F2" w:rsidP="008E26E9">
            <w:pPr>
              <w:spacing w:after="160" w:line="278" w:lineRule="auto"/>
            </w:pPr>
            <w:r w:rsidRPr="008C70AB">
              <w:t>Median hourly pay gap: 8.3% (Manchester Metropolitan University gender pay gap report for 2023–24 reporting year, 2023).</w:t>
            </w:r>
          </w:p>
        </w:tc>
      </w:tr>
      <w:tr w:rsidR="007158F2" w:rsidRPr="008C70AB" w14:paraId="7A41D66B" w14:textId="77777777" w:rsidTr="008E26E9">
        <w:tc>
          <w:tcPr>
            <w:tcW w:w="0" w:type="auto"/>
            <w:hideMark/>
          </w:tcPr>
          <w:p w14:paraId="383B9E9A" w14:textId="77777777" w:rsidR="007158F2" w:rsidRPr="008C70AB" w:rsidRDefault="007158F2" w:rsidP="008E26E9">
            <w:pPr>
              <w:spacing w:after="160" w:line="278" w:lineRule="auto"/>
            </w:pPr>
            <w:r w:rsidRPr="008C70AB">
              <w:t>RQ2</w:t>
            </w:r>
          </w:p>
        </w:tc>
        <w:tc>
          <w:tcPr>
            <w:tcW w:w="0" w:type="auto"/>
            <w:hideMark/>
          </w:tcPr>
          <w:p w14:paraId="62405E0C" w14:textId="77777777" w:rsidR="007158F2" w:rsidRPr="008C70AB" w:rsidRDefault="007158F2" w:rsidP="008E26E9">
            <w:pPr>
              <w:spacing w:after="160" w:line="278" w:lineRule="auto"/>
            </w:pPr>
            <w:r w:rsidRPr="008C70AB">
              <w:t>Trends in gender pay gap change</w:t>
            </w:r>
          </w:p>
        </w:tc>
        <w:tc>
          <w:tcPr>
            <w:tcW w:w="0" w:type="auto"/>
            <w:hideMark/>
          </w:tcPr>
          <w:p w14:paraId="5A64E5F9" w14:textId="77777777" w:rsidR="007158F2" w:rsidRPr="008C70AB" w:rsidRDefault="007158F2" w:rsidP="008E26E9">
            <w:pPr>
              <w:spacing w:after="160" w:line="278" w:lineRule="auto"/>
            </w:pPr>
            <w:r w:rsidRPr="008C70AB">
              <w:t>Median hourly gender pay gap (2024–25)</w:t>
            </w:r>
          </w:p>
        </w:tc>
        <w:tc>
          <w:tcPr>
            <w:tcW w:w="0" w:type="auto"/>
            <w:hideMark/>
          </w:tcPr>
          <w:p w14:paraId="6BD765B5" w14:textId="77777777" w:rsidR="007158F2" w:rsidRPr="008C70AB" w:rsidRDefault="007158F2" w:rsidP="008E26E9">
            <w:pPr>
              <w:spacing w:after="160" w:line="278" w:lineRule="auto"/>
            </w:pPr>
            <w:r w:rsidRPr="008C70AB">
              <w:t>3.2</w:t>
            </w:r>
          </w:p>
        </w:tc>
        <w:tc>
          <w:tcPr>
            <w:tcW w:w="0" w:type="auto"/>
            <w:hideMark/>
          </w:tcPr>
          <w:p w14:paraId="4165D24E" w14:textId="77777777" w:rsidR="007158F2" w:rsidRPr="008C70AB" w:rsidRDefault="007158F2" w:rsidP="008E26E9">
            <w:pPr>
              <w:spacing w:after="160" w:line="278" w:lineRule="auto"/>
            </w:pPr>
            <w:r w:rsidRPr="008C70AB">
              <w:t>Median hourly pay gap: 8.5% (Manchester Metropolitan University gender pay gap report for 2024–25 reporting year, 2024).</w:t>
            </w:r>
          </w:p>
        </w:tc>
      </w:tr>
      <w:tr w:rsidR="007158F2" w:rsidRPr="008C70AB" w14:paraId="1C74D547" w14:textId="77777777" w:rsidTr="008E26E9">
        <w:tc>
          <w:tcPr>
            <w:tcW w:w="0" w:type="auto"/>
            <w:hideMark/>
          </w:tcPr>
          <w:p w14:paraId="4ACBD024" w14:textId="77777777" w:rsidR="007158F2" w:rsidRPr="008C70AB" w:rsidRDefault="007158F2" w:rsidP="008E26E9">
            <w:pPr>
              <w:spacing w:after="160" w:line="278" w:lineRule="auto"/>
            </w:pPr>
            <w:r w:rsidRPr="008C70AB">
              <w:t>RQ2</w:t>
            </w:r>
          </w:p>
        </w:tc>
        <w:tc>
          <w:tcPr>
            <w:tcW w:w="0" w:type="auto"/>
            <w:hideMark/>
          </w:tcPr>
          <w:p w14:paraId="07FCC5EE" w14:textId="77777777" w:rsidR="007158F2" w:rsidRPr="008C70AB" w:rsidRDefault="007158F2" w:rsidP="008E26E9">
            <w:pPr>
              <w:spacing w:after="160" w:line="278" w:lineRule="auto"/>
            </w:pPr>
            <w:r w:rsidRPr="008C70AB">
              <w:t>Career progression outcomes</w:t>
            </w:r>
          </w:p>
        </w:tc>
        <w:tc>
          <w:tcPr>
            <w:tcW w:w="0" w:type="auto"/>
            <w:hideMark/>
          </w:tcPr>
          <w:p w14:paraId="0741EE91" w14:textId="77777777" w:rsidR="007158F2" w:rsidRPr="008C70AB" w:rsidRDefault="007158F2" w:rsidP="008E26E9">
            <w:pPr>
              <w:spacing w:after="160" w:line="278" w:lineRule="auto"/>
            </w:pPr>
            <w:r w:rsidRPr="008C70AB">
              <w:t>Women in highest pay quartile (2020–21)</w:t>
            </w:r>
          </w:p>
        </w:tc>
        <w:tc>
          <w:tcPr>
            <w:tcW w:w="0" w:type="auto"/>
            <w:hideMark/>
          </w:tcPr>
          <w:p w14:paraId="0769DF82" w14:textId="77777777" w:rsidR="007158F2" w:rsidRPr="008C70AB" w:rsidRDefault="007158F2" w:rsidP="008E26E9">
            <w:pPr>
              <w:spacing w:after="160" w:line="278" w:lineRule="auto"/>
            </w:pPr>
            <w:r w:rsidRPr="008C70AB">
              <w:t>3.2</w:t>
            </w:r>
          </w:p>
        </w:tc>
        <w:tc>
          <w:tcPr>
            <w:tcW w:w="0" w:type="auto"/>
            <w:hideMark/>
          </w:tcPr>
          <w:p w14:paraId="03B045DD" w14:textId="77777777" w:rsidR="007158F2" w:rsidRPr="008C70AB" w:rsidRDefault="007158F2" w:rsidP="008E26E9">
            <w:pPr>
              <w:spacing w:after="160" w:line="278" w:lineRule="auto"/>
            </w:pPr>
            <w:r w:rsidRPr="008C70AB">
              <w:t>Women in highest pay quartile: 51.0% (Manchester Metropolitan University gender pay gap report for 2020–21 reporting year, 2020).</w:t>
            </w:r>
          </w:p>
        </w:tc>
      </w:tr>
      <w:tr w:rsidR="007158F2" w:rsidRPr="008C70AB" w14:paraId="1436615C" w14:textId="77777777" w:rsidTr="008E26E9">
        <w:tc>
          <w:tcPr>
            <w:tcW w:w="0" w:type="auto"/>
            <w:hideMark/>
          </w:tcPr>
          <w:p w14:paraId="4926BBCA" w14:textId="77777777" w:rsidR="007158F2" w:rsidRPr="008C70AB" w:rsidRDefault="007158F2" w:rsidP="008E26E9">
            <w:pPr>
              <w:spacing w:after="160" w:line="278" w:lineRule="auto"/>
            </w:pPr>
            <w:r w:rsidRPr="008C70AB">
              <w:t>RQ2</w:t>
            </w:r>
          </w:p>
        </w:tc>
        <w:tc>
          <w:tcPr>
            <w:tcW w:w="0" w:type="auto"/>
            <w:hideMark/>
          </w:tcPr>
          <w:p w14:paraId="6DFF1AA8" w14:textId="77777777" w:rsidR="007158F2" w:rsidRPr="008C70AB" w:rsidRDefault="007158F2" w:rsidP="008E26E9">
            <w:pPr>
              <w:spacing w:after="160" w:line="278" w:lineRule="auto"/>
            </w:pPr>
            <w:r w:rsidRPr="008C70AB">
              <w:t>Career progression outcomes</w:t>
            </w:r>
          </w:p>
        </w:tc>
        <w:tc>
          <w:tcPr>
            <w:tcW w:w="0" w:type="auto"/>
            <w:hideMark/>
          </w:tcPr>
          <w:p w14:paraId="6EAE9CE9" w14:textId="77777777" w:rsidR="007158F2" w:rsidRPr="008C70AB" w:rsidRDefault="007158F2" w:rsidP="008E26E9">
            <w:pPr>
              <w:spacing w:after="160" w:line="278" w:lineRule="auto"/>
            </w:pPr>
            <w:r w:rsidRPr="008C70AB">
              <w:t>Women in highest pay quartile (2021–22)</w:t>
            </w:r>
          </w:p>
        </w:tc>
        <w:tc>
          <w:tcPr>
            <w:tcW w:w="0" w:type="auto"/>
            <w:hideMark/>
          </w:tcPr>
          <w:p w14:paraId="3BC6767A" w14:textId="77777777" w:rsidR="007158F2" w:rsidRPr="008C70AB" w:rsidRDefault="007158F2" w:rsidP="008E26E9">
            <w:pPr>
              <w:spacing w:after="160" w:line="278" w:lineRule="auto"/>
            </w:pPr>
            <w:r w:rsidRPr="008C70AB">
              <w:t>3.2</w:t>
            </w:r>
          </w:p>
        </w:tc>
        <w:tc>
          <w:tcPr>
            <w:tcW w:w="0" w:type="auto"/>
            <w:hideMark/>
          </w:tcPr>
          <w:p w14:paraId="47BC0C73" w14:textId="77777777" w:rsidR="007158F2" w:rsidRPr="008C70AB" w:rsidRDefault="007158F2" w:rsidP="008E26E9">
            <w:pPr>
              <w:spacing w:after="160" w:line="278" w:lineRule="auto"/>
            </w:pPr>
            <w:r w:rsidRPr="008C70AB">
              <w:t>Women in highest pay quartile: 48.8% (Manchester Metropolitan University gender pay gap report for 2021–22 reporting year, 2021).</w:t>
            </w:r>
          </w:p>
        </w:tc>
      </w:tr>
      <w:tr w:rsidR="007158F2" w:rsidRPr="008C70AB" w14:paraId="7BF39F28" w14:textId="77777777" w:rsidTr="008E26E9">
        <w:tc>
          <w:tcPr>
            <w:tcW w:w="0" w:type="auto"/>
            <w:hideMark/>
          </w:tcPr>
          <w:p w14:paraId="0541C823" w14:textId="77777777" w:rsidR="007158F2" w:rsidRPr="008C70AB" w:rsidRDefault="007158F2" w:rsidP="008E26E9">
            <w:pPr>
              <w:spacing w:after="160" w:line="278" w:lineRule="auto"/>
            </w:pPr>
            <w:r w:rsidRPr="008C70AB">
              <w:t>RQ2</w:t>
            </w:r>
          </w:p>
        </w:tc>
        <w:tc>
          <w:tcPr>
            <w:tcW w:w="0" w:type="auto"/>
            <w:hideMark/>
          </w:tcPr>
          <w:p w14:paraId="47A7A5A8" w14:textId="77777777" w:rsidR="007158F2" w:rsidRPr="008C70AB" w:rsidRDefault="007158F2" w:rsidP="008E26E9">
            <w:pPr>
              <w:spacing w:after="160" w:line="278" w:lineRule="auto"/>
            </w:pPr>
            <w:r w:rsidRPr="008C70AB">
              <w:t>Career progression outcomes</w:t>
            </w:r>
          </w:p>
        </w:tc>
        <w:tc>
          <w:tcPr>
            <w:tcW w:w="0" w:type="auto"/>
            <w:hideMark/>
          </w:tcPr>
          <w:p w14:paraId="058AE7B1" w14:textId="77777777" w:rsidR="007158F2" w:rsidRPr="008C70AB" w:rsidRDefault="007158F2" w:rsidP="008E26E9">
            <w:pPr>
              <w:spacing w:after="160" w:line="278" w:lineRule="auto"/>
            </w:pPr>
            <w:r w:rsidRPr="008C70AB">
              <w:t xml:space="preserve">Women in highest pay </w:t>
            </w:r>
            <w:r w:rsidRPr="008C70AB">
              <w:lastRenderedPageBreak/>
              <w:t>quartile (2022–23)</w:t>
            </w:r>
          </w:p>
        </w:tc>
        <w:tc>
          <w:tcPr>
            <w:tcW w:w="0" w:type="auto"/>
            <w:hideMark/>
          </w:tcPr>
          <w:p w14:paraId="3CE7139E" w14:textId="77777777" w:rsidR="007158F2" w:rsidRPr="008C70AB" w:rsidRDefault="007158F2" w:rsidP="008E26E9">
            <w:pPr>
              <w:spacing w:after="160" w:line="278" w:lineRule="auto"/>
            </w:pPr>
            <w:r w:rsidRPr="008C70AB">
              <w:lastRenderedPageBreak/>
              <w:t>3.2</w:t>
            </w:r>
          </w:p>
        </w:tc>
        <w:tc>
          <w:tcPr>
            <w:tcW w:w="0" w:type="auto"/>
            <w:hideMark/>
          </w:tcPr>
          <w:p w14:paraId="07E87596" w14:textId="77777777" w:rsidR="007158F2" w:rsidRPr="008C70AB" w:rsidRDefault="007158F2" w:rsidP="008E26E9">
            <w:pPr>
              <w:spacing w:after="160" w:line="278" w:lineRule="auto"/>
            </w:pPr>
            <w:r w:rsidRPr="008C70AB">
              <w:t xml:space="preserve">Women in highest pay quartile: 50.3% (Manchester Metropolitan </w:t>
            </w:r>
            <w:r w:rsidRPr="008C70AB">
              <w:lastRenderedPageBreak/>
              <w:t>University gender pay gap report for 2022–23 reporting year, 2022).</w:t>
            </w:r>
          </w:p>
        </w:tc>
      </w:tr>
      <w:tr w:rsidR="007158F2" w:rsidRPr="008C70AB" w14:paraId="6027153E" w14:textId="77777777" w:rsidTr="008E26E9">
        <w:tc>
          <w:tcPr>
            <w:tcW w:w="0" w:type="auto"/>
            <w:hideMark/>
          </w:tcPr>
          <w:p w14:paraId="4C2DAD0E" w14:textId="77777777" w:rsidR="007158F2" w:rsidRPr="008C70AB" w:rsidRDefault="007158F2" w:rsidP="008E26E9">
            <w:pPr>
              <w:spacing w:after="160" w:line="278" w:lineRule="auto"/>
            </w:pPr>
            <w:r w:rsidRPr="008C70AB">
              <w:lastRenderedPageBreak/>
              <w:t>RQ2</w:t>
            </w:r>
          </w:p>
        </w:tc>
        <w:tc>
          <w:tcPr>
            <w:tcW w:w="0" w:type="auto"/>
            <w:hideMark/>
          </w:tcPr>
          <w:p w14:paraId="0F54BEBE" w14:textId="77777777" w:rsidR="007158F2" w:rsidRPr="008C70AB" w:rsidRDefault="007158F2" w:rsidP="008E26E9">
            <w:pPr>
              <w:spacing w:after="160" w:line="278" w:lineRule="auto"/>
            </w:pPr>
            <w:r w:rsidRPr="008C70AB">
              <w:t>Career progression outcomes</w:t>
            </w:r>
          </w:p>
        </w:tc>
        <w:tc>
          <w:tcPr>
            <w:tcW w:w="0" w:type="auto"/>
            <w:hideMark/>
          </w:tcPr>
          <w:p w14:paraId="41262B88" w14:textId="77777777" w:rsidR="007158F2" w:rsidRPr="008C70AB" w:rsidRDefault="007158F2" w:rsidP="008E26E9">
            <w:pPr>
              <w:spacing w:after="160" w:line="278" w:lineRule="auto"/>
            </w:pPr>
            <w:r w:rsidRPr="008C70AB">
              <w:t>Women in highest pay quartile (2023–24)</w:t>
            </w:r>
          </w:p>
        </w:tc>
        <w:tc>
          <w:tcPr>
            <w:tcW w:w="0" w:type="auto"/>
            <w:hideMark/>
          </w:tcPr>
          <w:p w14:paraId="7060D632" w14:textId="77777777" w:rsidR="007158F2" w:rsidRPr="008C70AB" w:rsidRDefault="007158F2" w:rsidP="008E26E9">
            <w:pPr>
              <w:spacing w:after="160" w:line="278" w:lineRule="auto"/>
            </w:pPr>
            <w:r w:rsidRPr="008C70AB">
              <w:t>3.2</w:t>
            </w:r>
          </w:p>
        </w:tc>
        <w:tc>
          <w:tcPr>
            <w:tcW w:w="0" w:type="auto"/>
            <w:hideMark/>
          </w:tcPr>
          <w:p w14:paraId="4E063B8B" w14:textId="77777777" w:rsidR="007158F2" w:rsidRPr="008C70AB" w:rsidRDefault="007158F2" w:rsidP="008E26E9">
            <w:pPr>
              <w:spacing w:after="160" w:line="278" w:lineRule="auto"/>
            </w:pPr>
            <w:r w:rsidRPr="008C70AB">
              <w:t>Women in highest pay quartile: 51.0% (Manchester Metropolitan University gender pay gap report for 2023–24 reporting year, 2023).</w:t>
            </w:r>
          </w:p>
        </w:tc>
      </w:tr>
      <w:tr w:rsidR="007158F2" w:rsidRPr="008C70AB" w14:paraId="3067B51D" w14:textId="77777777" w:rsidTr="008E26E9">
        <w:tc>
          <w:tcPr>
            <w:tcW w:w="0" w:type="auto"/>
            <w:hideMark/>
          </w:tcPr>
          <w:p w14:paraId="5666CBE1" w14:textId="77777777" w:rsidR="007158F2" w:rsidRPr="008C70AB" w:rsidRDefault="007158F2" w:rsidP="008E26E9">
            <w:pPr>
              <w:spacing w:after="160" w:line="278" w:lineRule="auto"/>
            </w:pPr>
            <w:r w:rsidRPr="008C70AB">
              <w:t>RQ2</w:t>
            </w:r>
          </w:p>
        </w:tc>
        <w:tc>
          <w:tcPr>
            <w:tcW w:w="0" w:type="auto"/>
            <w:hideMark/>
          </w:tcPr>
          <w:p w14:paraId="40A86735" w14:textId="77777777" w:rsidR="007158F2" w:rsidRPr="008C70AB" w:rsidRDefault="007158F2" w:rsidP="008E26E9">
            <w:pPr>
              <w:spacing w:after="160" w:line="278" w:lineRule="auto"/>
            </w:pPr>
            <w:r w:rsidRPr="008C70AB">
              <w:t>Career progression outcomes</w:t>
            </w:r>
          </w:p>
        </w:tc>
        <w:tc>
          <w:tcPr>
            <w:tcW w:w="0" w:type="auto"/>
            <w:hideMark/>
          </w:tcPr>
          <w:p w14:paraId="178C2862" w14:textId="77777777" w:rsidR="007158F2" w:rsidRPr="008C70AB" w:rsidRDefault="007158F2" w:rsidP="008E26E9">
            <w:pPr>
              <w:spacing w:after="160" w:line="278" w:lineRule="auto"/>
            </w:pPr>
            <w:r w:rsidRPr="008C70AB">
              <w:t>Women in highest pay quartile (2024–25)</w:t>
            </w:r>
          </w:p>
        </w:tc>
        <w:tc>
          <w:tcPr>
            <w:tcW w:w="0" w:type="auto"/>
            <w:hideMark/>
          </w:tcPr>
          <w:p w14:paraId="76F6000E" w14:textId="77777777" w:rsidR="007158F2" w:rsidRPr="008C70AB" w:rsidRDefault="007158F2" w:rsidP="008E26E9">
            <w:pPr>
              <w:spacing w:after="160" w:line="278" w:lineRule="auto"/>
            </w:pPr>
            <w:r w:rsidRPr="008C70AB">
              <w:t>3.2</w:t>
            </w:r>
          </w:p>
        </w:tc>
        <w:tc>
          <w:tcPr>
            <w:tcW w:w="0" w:type="auto"/>
            <w:hideMark/>
          </w:tcPr>
          <w:p w14:paraId="566D0BBA" w14:textId="77777777" w:rsidR="007158F2" w:rsidRPr="008C70AB" w:rsidRDefault="007158F2" w:rsidP="008E26E9">
            <w:pPr>
              <w:spacing w:after="160" w:line="278" w:lineRule="auto"/>
            </w:pPr>
            <w:r w:rsidRPr="008C70AB">
              <w:t>Women in highest pay quartile: 48.9% (Manchester Metropolitan University gender pay gap report for 2024–25 reporting year, 2024).</w:t>
            </w:r>
          </w:p>
        </w:tc>
      </w:tr>
    </w:tbl>
    <w:p w14:paraId="159BEB82" w14:textId="77777777" w:rsidR="007158F2" w:rsidRPr="008C70AB" w:rsidRDefault="007158F2" w:rsidP="007158F2"/>
    <w:p w14:paraId="19A6A921" w14:textId="77777777" w:rsidR="007158F2" w:rsidRDefault="007158F2" w:rsidP="007158F2"/>
    <w:p w14:paraId="10703443" w14:textId="77777777" w:rsidR="007158F2" w:rsidRDefault="007158F2" w:rsidP="007158F2"/>
    <w:p w14:paraId="5FE4FEF9" w14:textId="77777777" w:rsidR="007158F2" w:rsidRDefault="007158F2" w:rsidP="007158F2"/>
    <w:p w14:paraId="4B352167" w14:textId="77777777" w:rsidR="007158F2" w:rsidRDefault="007158F2" w:rsidP="007158F2"/>
    <w:p w14:paraId="0AEE332C" w14:textId="77777777" w:rsidR="007158F2" w:rsidRDefault="007158F2" w:rsidP="007158F2"/>
    <w:p w14:paraId="7E5C7B25" w14:textId="77777777" w:rsidR="007158F2" w:rsidRDefault="007158F2" w:rsidP="007158F2"/>
    <w:p w14:paraId="7417DBE0" w14:textId="77777777" w:rsidR="007158F2" w:rsidRDefault="007158F2" w:rsidP="007158F2"/>
    <w:p w14:paraId="0B12158E" w14:textId="77777777" w:rsidR="007158F2" w:rsidRDefault="007158F2" w:rsidP="007158F2"/>
    <w:p w14:paraId="396AEBD2" w14:textId="77777777" w:rsidR="007158F2" w:rsidRDefault="007158F2" w:rsidP="007158F2"/>
    <w:p w14:paraId="63EF1D04" w14:textId="77777777" w:rsidR="007158F2" w:rsidRDefault="007158F2" w:rsidP="007158F2"/>
    <w:p w14:paraId="14FF03B3" w14:textId="77777777" w:rsidR="007158F2" w:rsidRDefault="007158F2" w:rsidP="007158F2"/>
    <w:p w14:paraId="557F87A5" w14:textId="77777777" w:rsidR="007158F2" w:rsidRDefault="007158F2" w:rsidP="007158F2"/>
    <w:p w14:paraId="0EF0337E" w14:textId="77777777" w:rsidR="007158F2" w:rsidRDefault="007158F2" w:rsidP="007158F2"/>
    <w:p w14:paraId="431D72B9" w14:textId="77777777" w:rsidR="007158F2" w:rsidRDefault="007158F2" w:rsidP="007158F2"/>
    <w:p w14:paraId="4B3D928F" w14:textId="77777777" w:rsidR="007158F2" w:rsidRDefault="007158F2" w:rsidP="007158F2"/>
    <w:p w14:paraId="04EEEEE0" w14:textId="77777777" w:rsidR="007158F2" w:rsidRPr="008C70AB" w:rsidRDefault="007158F2" w:rsidP="007158F2"/>
    <w:p w14:paraId="29B314BB" w14:textId="77777777" w:rsidR="007158F2" w:rsidRPr="00985C38" w:rsidRDefault="007158F2" w:rsidP="007158F2">
      <w:pPr>
        <w:rPr>
          <w:b/>
          <w:bCs/>
          <w:sz w:val="24"/>
          <w:szCs w:val="24"/>
        </w:rPr>
      </w:pPr>
      <w:r w:rsidRPr="00985C38">
        <w:rPr>
          <w:b/>
          <w:bCs/>
          <w:sz w:val="24"/>
          <w:szCs w:val="24"/>
        </w:rPr>
        <w:lastRenderedPageBreak/>
        <w:t xml:space="preserve">APPENDIX 4 </w:t>
      </w:r>
    </w:p>
    <w:p w14:paraId="562F172F" w14:textId="77777777" w:rsidR="007158F2" w:rsidRPr="00985C38" w:rsidRDefault="007158F2" w:rsidP="007158F2">
      <w:pPr>
        <w:rPr>
          <w:b/>
          <w:bCs/>
          <w:sz w:val="24"/>
          <w:szCs w:val="24"/>
        </w:rPr>
      </w:pPr>
      <w:r w:rsidRPr="00985C38">
        <w:rPr>
          <w:b/>
          <w:bCs/>
          <w:sz w:val="24"/>
          <w:szCs w:val="24"/>
        </w:rPr>
        <w:t>Table A4.1: Overview of Qualitative Data Analysis Underpinning RQ3 – University of Salford (2020–2025)</w:t>
      </w:r>
    </w:p>
    <w:tbl>
      <w:tblPr>
        <w:tblStyle w:val="TableGrid"/>
        <w:tblW w:w="0" w:type="auto"/>
        <w:tblLook w:val="04A0" w:firstRow="1" w:lastRow="0" w:firstColumn="1" w:lastColumn="0" w:noHBand="0" w:noVBand="1"/>
      </w:tblPr>
      <w:tblGrid>
        <w:gridCol w:w="1936"/>
        <w:gridCol w:w="1740"/>
        <w:gridCol w:w="2403"/>
        <w:gridCol w:w="1143"/>
        <w:gridCol w:w="1794"/>
      </w:tblGrid>
      <w:tr w:rsidR="007158F2" w:rsidRPr="0017282C" w14:paraId="7BC12C80" w14:textId="77777777" w:rsidTr="008E26E9">
        <w:tc>
          <w:tcPr>
            <w:tcW w:w="0" w:type="auto"/>
            <w:shd w:val="clear" w:color="auto" w:fill="4C94D8" w:themeFill="text2" w:themeFillTint="80"/>
            <w:hideMark/>
          </w:tcPr>
          <w:p w14:paraId="67994A54" w14:textId="77777777" w:rsidR="007158F2" w:rsidRPr="0017282C" w:rsidRDefault="007158F2" w:rsidP="008E26E9">
            <w:pPr>
              <w:spacing w:after="160" w:line="278" w:lineRule="auto"/>
              <w:rPr>
                <w:b/>
                <w:bCs/>
              </w:rPr>
            </w:pPr>
            <w:r w:rsidRPr="0017282C">
              <w:rPr>
                <w:b/>
                <w:bCs/>
              </w:rPr>
              <w:t>Research Question</w:t>
            </w:r>
          </w:p>
        </w:tc>
        <w:tc>
          <w:tcPr>
            <w:tcW w:w="0" w:type="auto"/>
            <w:shd w:val="clear" w:color="auto" w:fill="4C94D8" w:themeFill="text2" w:themeFillTint="80"/>
            <w:hideMark/>
          </w:tcPr>
          <w:p w14:paraId="7EC553B3" w14:textId="77777777" w:rsidR="007158F2" w:rsidRPr="0017282C" w:rsidRDefault="007158F2" w:rsidP="008E26E9">
            <w:pPr>
              <w:spacing w:after="160" w:line="278" w:lineRule="auto"/>
              <w:rPr>
                <w:b/>
                <w:bCs/>
              </w:rPr>
            </w:pPr>
            <w:r w:rsidRPr="0017282C">
              <w:rPr>
                <w:b/>
                <w:bCs/>
              </w:rPr>
              <w:t>Main Theme</w:t>
            </w:r>
          </w:p>
        </w:tc>
        <w:tc>
          <w:tcPr>
            <w:tcW w:w="0" w:type="auto"/>
            <w:shd w:val="clear" w:color="auto" w:fill="4C94D8" w:themeFill="text2" w:themeFillTint="80"/>
            <w:hideMark/>
          </w:tcPr>
          <w:p w14:paraId="7328FC66" w14:textId="77777777" w:rsidR="007158F2" w:rsidRPr="0017282C" w:rsidRDefault="007158F2" w:rsidP="008E26E9">
            <w:pPr>
              <w:spacing w:after="160" w:line="278" w:lineRule="auto"/>
              <w:rPr>
                <w:b/>
                <w:bCs/>
              </w:rPr>
            </w:pPr>
            <w:r w:rsidRPr="0017282C">
              <w:rPr>
                <w:b/>
                <w:bCs/>
              </w:rPr>
              <w:t>Sub-theme / Code</w:t>
            </w:r>
          </w:p>
        </w:tc>
        <w:tc>
          <w:tcPr>
            <w:tcW w:w="0" w:type="auto"/>
            <w:shd w:val="clear" w:color="auto" w:fill="4C94D8" w:themeFill="text2" w:themeFillTint="80"/>
            <w:hideMark/>
          </w:tcPr>
          <w:p w14:paraId="0667D75C" w14:textId="77777777" w:rsidR="007158F2" w:rsidRPr="0017282C" w:rsidRDefault="007158F2" w:rsidP="008E26E9">
            <w:pPr>
              <w:spacing w:after="160" w:line="278" w:lineRule="auto"/>
              <w:rPr>
                <w:b/>
                <w:bCs/>
              </w:rPr>
            </w:pPr>
            <w:r w:rsidRPr="0017282C">
              <w:rPr>
                <w:b/>
                <w:bCs/>
              </w:rPr>
              <w:t>Findings Section Ref</w:t>
            </w:r>
          </w:p>
        </w:tc>
        <w:tc>
          <w:tcPr>
            <w:tcW w:w="0" w:type="auto"/>
            <w:shd w:val="clear" w:color="auto" w:fill="4C94D8" w:themeFill="text2" w:themeFillTint="80"/>
            <w:hideMark/>
          </w:tcPr>
          <w:p w14:paraId="58BD931A" w14:textId="77777777" w:rsidR="007158F2" w:rsidRPr="0017282C" w:rsidRDefault="007158F2" w:rsidP="008E26E9">
            <w:pPr>
              <w:spacing w:after="160" w:line="278" w:lineRule="auto"/>
              <w:rPr>
                <w:b/>
                <w:bCs/>
              </w:rPr>
            </w:pPr>
            <w:r w:rsidRPr="008C70AB">
              <w:rPr>
                <w:b/>
                <w:bCs/>
              </w:rPr>
              <w:t xml:space="preserve">Illustrative Extract </w:t>
            </w:r>
          </w:p>
        </w:tc>
      </w:tr>
      <w:tr w:rsidR="007158F2" w:rsidRPr="0017282C" w14:paraId="2F133991" w14:textId="77777777" w:rsidTr="008E26E9">
        <w:tc>
          <w:tcPr>
            <w:tcW w:w="0" w:type="auto"/>
            <w:hideMark/>
          </w:tcPr>
          <w:p w14:paraId="3CD52575" w14:textId="77777777" w:rsidR="007158F2" w:rsidRPr="004204CB" w:rsidRDefault="007158F2" w:rsidP="008E26E9">
            <w:pPr>
              <w:spacing w:after="160" w:line="278" w:lineRule="auto"/>
              <w:rPr>
                <w:b/>
                <w:bCs/>
              </w:rPr>
            </w:pPr>
            <w:r w:rsidRPr="004204CB">
              <w:rPr>
                <w:b/>
                <w:bCs/>
              </w:rPr>
              <w:t>RQ3: What organisational and structural conditions shaped the implementation of EDI strategies and gender pay monitoring?</w:t>
            </w:r>
          </w:p>
        </w:tc>
        <w:tc>
          <w:tcPr>
            <w:tcW w:w="0" w:type="auto"/>
            <w:hideMark/>
          </w:tcPr>
          <w:p w14:paraId="580AD630" w14:textId="77777777" w:rsidR="007158F2" w:rsidRPr="008C70AB" w:rsidRDefault="007158F2" w:rsidP="008E26E9">
            <w:pPr>
              <w:spacing w:after="160" w:line="278" w:lineRule="auto"/>
            </w:pPr>
            <w:r w:rsidRPr="008C70AB">
              <w:t>Senior leadership oversight of EDI governance</w:t>
            </w:r>
          </w:p>
        </w:tc>
        <w:tc>
          <w:tcPr>
            <w:tcW w:w="0" w:type="auto"/>
            <w:hideMark/>
          </w:tcPr>
          <w:p w14:paraId="32C7E3BA" w14:textId="77777777" w:rsidR="007158F2" w:rsidRPr="008C70AB" w:rsidRDefault="007158F2" w:rsidP="008E26E9">
            <w:pPr>
              <w:spacing w:after="160" w:line="278" w:lineRule="auto"/>
            </w:pPr>
            <w:r w:rsidRPr="008C70AB">
              <w:t>Executive-level leadership and oversight</w:t>
            </w:r>
          </w:p>
        </w:tc>
        <w:tc>
          <w:tcPr>
            <w:tcW w:w="0" w:type="auto"/>
            <w:hideMark/>
          </w:tcPr>
          <w:p w14:paraId="39782CD0" w14:textId="77777777" w:rsidR="007158F2" w:rsidRPr="008C70AB" w:rsidRDefault="007158F2" w:rsidP="008E26E9">
            <w:pPr>
              <w:spacing w:after="160" w:line="278" w:lineRule="auto"/>
            </w:pPr>
            <w:r w:rsidRPr="008C70AB">
              <w:t>3.3</w:t>
            </w:r>
          </w:p>
        </w:tc>
        <w:tc>
          <w:tcPr>
            <w:tcW w:w="0" w:type="auto"/>
            <w:hideMark/>
          </w:tcPr>
          <w:p w14:paraId="525C0406" w14:textId="77777777" w:rsidR="007158F2" w:rsidRPr="008C70AB" w:rsidRDefault="007158F2" w:rsidP="008E26E9">
            <w:pPr>
              <w:spacing w:after="160" w:line="278" w:lineRule="auto"/>
            </w:pPr>
            <w:r w:rsidRPr="008C70AB">
              <w:t>“This work will be led by our Vice-Chancellor’s Executive Team (VCET) and overseen by the Pro Vice-Chancellor (Academic Development) &amp; Associate Pro Vice-Chancellor (Equity, Diversity and Inclusion).” (University of Salford, 2024b, p. 6)</w:t>
            </w:r>
          </w:p>
        </w:tc>
      </w:tr>
      <w:tr w:rsidR="007158F2" w:rsidRPr="0017282C" w14:paraId="758FB829" w14:textId="77777777" w:rsidTr="008E26E9">
        <w:tc>
          <w:tcPr>
            <w:tcW w:w="0" w:type="auto"/>
            <w:hideMark/>
          </w:tcPr>
          <w:p w14:paraId="0F942BEC" w14:textId="77777777" w:rsidR="007158F2" w:rsidRPr="008C70AB" w:rsidRDefault="007158F2" w:rsidP="008E26E9">
            <w:pPr>
              <w:spacing w:after="160" w:line="278" w:lineRule="auto"/>
            </w:pPr>
            <w:r w:rsidRPr="008C70AB">
              <w:t>RQ3</w:t>
            </w:r>
          </w:p>
        </w:tc>
        <w:tc>
          <w:tcPr>
            <w:tcW w:w="0" w:type="auto"/>
            <w:hideMark/>
          </w:tcPr>
          <w:p w14:paraId="4265B1B5" w14:textId="77777777" w:rsidR="007158F2" w:rsidRPr="008C70AB" w:rsidRDefault="007158F2" w:rsidP="008E26E9">
            <w:pPr>
              <w:spacing w:after="160" w:line="278" w:lineRule="auto"/>
            </w:pPr>
            <w:r w:rsidRPr="008C70AB">
              <w:t>Governance architecture and coordinating bodies</w:t>
            </w:r>
          </w:p>
        </w:tc>
        <w:tc>
          <w:tcPr>
            <w:tcW w:w="0" w:type="auto"/>
            <w:hideMark/>
          </w:tcPr>
          <w:p w14:paraId="525F56B4" w14:textId="77777777" w:rsidR="007158F2" w:rsidRPr="008C70AB" w:rsidRDefault="007158F2" w:rsidP="008E26E9">
            <w:pPr>
              <w:spacing w:after="160" w:line="278" w:lineRule="auto"/>
            </w:pPr>
            <w:r w:rsidRPr="008C70AB">
              <w:t>Gender Equity Group as a coordinating/oversight body</w:t>
            </w:r>
          </w:p>
        </w:tc>
        <w:tc>
          <w:tcPr>
            <w:tcW w:w="0" w:type="auto"/>
            <w:hideMark/>
          </w:tcPr>
          <w:p w14:paraId="2E8E0B16" w14:textId="77777777" w:rsidR="007158F2" w:rsidRPr="008C70AB" w:rsidRDefault="007158F2" w:rsidP="008E26E9">
            <w:pPr>
              <w:spacing w:after="160" w:line="278" w:lineRule="auto"/>
            </w:pPr>
            <w:r w:rsidRPr="008C70AB">
              <w:t>3.3</w:t>
            </w:r>
          </w:p>
        </w:tc>
        <w:tc>
          <w:tcPr>
            <w:tcW w:w="0" w:type="auto"/>
            <w:hideMark/>
          </w:tcPr>
          <w:p w14:paraId="1A4C20B6" w14:textId="77777777" w:rsidR="007158F2" w:rsidRPr="008C70AB" w:rsidRDefault="007158F2" w:rsidP="008E26E9">
            <w:pPr>
              <w:spacing w:after="160" w:line="278" w:lineRule="auto"/>
            </w:pPr>
            <w:r w:rsidRPr="008C70AB">
              <w:t>“Our Gender Equity Group is co-chaired by our Chief Academic Services Officer &amp; University Secretary and Chief People Officer…” (University of Salford, 2024a, p. 8)</w:t>
            </w:r>
          </w:p>
        </w:tc>
      </w:tr>
      <w:tr w:rsidR="007158F2" w:rsidRPr="0017282C" w14:paraId="527D49A0" w14:textId="77777777" w:rsidTr="008E26E9">
        <w:tc>
          <w:tcPr>
            <w:tcW w:w="0" w:type="auto"/>
            <w:hideMark/>
          </w:tcPr>
          <w:p w14:paraId="2598F921" w14:textId="77777777" w:rsidR="007158F2" w:rsidRPr="008C70AB" w:rsidRDefault="007158F2" w:rsidP="008E26E9">
            <w:pPr>
              <w:spacing w:after="160" w:line="278" w:lineRule="auto"/>
            </w:pPr>
            <w:r w:rsidRPr="008C70AB">
              <w:t>RQ3</w:t>
            </w:r>
          </w:p>
        </w:tc>
        <w:tc>
          <w:tcPr>
            <w:tcW w:w="0" w:type="auto"/>
            <w:hideMark/>
          </w:tcPr>
          <w:p w14:paraId="789A20C1" w14:textId="77777777" w:rsidR="007158F2" w:rsidRPr="008C70AB" w:rsidRDefault="007158F2" w:rsidP="008E26E9">
            <w:pPr>
              <w:spacing w:after="160" w:line="278" w:lineRule="auto"/>
            </w:pPr>
            <w:r w:rsidRPr="008C70AB">
              <w:t>Governance architecture and coordinating bodies</w:t>
            </w:r>
          </w:p>
        </w:tc>
        <w:tc>
          <w:tcPr>
            <w:tcW w:w="0" w:type="auto"/>
            <w:hideMark/>
          </w:tcPr>
          <w:p w14:paraId="4BE78E0A" w14:textId="77777777" w:rsidR="007158F2" w:rsidRPr="008C70AB" w:rsidRDefault="007158F2" w:rsidP="008E26E9">
            <w:pPr>
              <w:spacing w:after="160" w:line="278" w:lineRule="auto"/>
            </w:pPr>
            <w:r w:rsidRPr="008C70AB">
              <w:t>Equity Assurance Committee monitoring of EDI Action Plans</w:t>
            </w:r>
          </w:p>
        </w:tc>
        <w:tc>
          <w:tcPr>
            <w:tcW w:w="0" w:type="auto"/>
            <w:hideMark/>
          </w:tcPr>
          <w:p w14:paraId="0D40EE47" w14:textId="77777777" w:rsidR="007158F2" w:rsidRPr="008C70AB" w:rsidRDefault="007158F2" w:rsidP="008E26E9">
            <w:pPr>
              <w:spacing w:after="160" w:line="278" w:lineRule="auto"/>
            </w:pPr>
            <w:r w:rsidRPr="008C70AB">
              <w:t>3.3</w:t>
            </w:r>
          </w:p>
        </w:tc>
        <w:tc>
          <w:tcPr>
            <w:tcW w:w="0" w:type="auto"/>
            <w:hideMark/>
          </w:tcPr>
          <w:p w14:paraId="0F01C8B4" w14:textId="77777777" w:rsidR="007158F2" w:rsidRPr="008C70AB" w:rsidRDefault="007158F2" w:rsidP="008E26E9">
            <w:pPr>
              <w:spacing w:after="160" w:line="278" w:lineRule="auto"/>
            </w:pPr>
            <w:r w:rsidRPr="008C70AB">
              <w:t xml:space="preserve">“The goals within the EDI </w:t>
            </w:r>
            <w:proofErr w:type="spellStart"/>
            <w:r w:rsidRPr="008C70AB">
              <w:t>SoA</w:t>
            </w:r>
            <w:proofErr w:type="spellEnd"/>
            <w:r w:rsidRPr="008C70AB">
              <w:t xml:space="preserve"> are driven by both the EDI governance framework and </w:t>
            </w:r>
            <w:r w:rsidRPr="008C70AB">
              <w:lastRenderedPageBreak/>
              <w:t xml:space="preserve">more locally through the </w:t>
            </w:r>
            <w:proofErr w:type="gramStart"/>
            <w:r w:rsidRPr="008C70AB">
              <w:t>School</w:t>
            </w:r>
            <w:proofErr w:type="gramEnd"/>
            <w:r w:rsidRPr="008C70AB">
              <w:t xml:space="preserve"> and professional service EDI Action Plans (monitored through the Equity Assurance Committee).” (University of Salford, 2024a, p. 10)</w:t>
            </w:r>
          </w:p>
        </w:tc>
      </w:tr>
      <w:tr w:rsidR="007158F2" w:rsidRPr="0017282C" w14:paraId="70321AC1" w14:textId="77777777" w:rsidTr="008E26E9">
        <w:tc>
          <w:tcPr>
            <w:tcW w:w="0" w:type="auto"/>
            <w:hideMark/>
          </w:tcPr>
          <w:p w14:paraId="2B7E6DB9" w14:textId="77777777" w:rsidR="007158F2" w:rsidRPr="008C70AB" w:rsidRDefault="007158F2" w:rsidP="008E26E9">
            <w:pPr>
              <w:spacing w:after="160" w:line="278" w:lineRule="auto"/>
            </w:pPr>
            <w:r w:rsidRPr="008C70AB">
              <w:lastRenderedPageBreak/>
              <w:t>RQ3</w:t>
            </w:r>
          </w:p>
        </w:tc>
        <w:tc>
          <w:tcPr>
            <w:tcW w:w="0" w:type="auto"/>
            <w:hideMark/>
          </w:tcPr>
          <w:p w14:paraId="2C440995" w14:textId="77777777" w:rsidR="007158F2" w:rsidRPr="008C70AB" w:rsidRDefault="007158F2" w:rsidP="008E26E9">
            <w:pPr>
              <w:spacing w:after="160" w:line="278" w:lineRule="auto"/>
            </w:pPr>
            <w:r w:rsidRPr="008C70AB">
              <w:t>Governance architecture and coordinating bodies</w:t>
            </w:r>
          </w:p>
        </w:tc>
        <w:tc>
          <w:tcPr>
            <w:tcW w:w="0" w:type="auto"/>
            <w:hideMark/>
          </w:tcPr>
          <w:p w14:paraId="49305585" w14:textId="77777777" w:rsidR="007158F2" w:rsidRPr="008C70AB" w:rsidRDefault="007158F2" w:rsidP="008E26E9">
            <w:pPr>
              <w:spacing w:after="160" w:line="278" w:lineRule="auto"/>
            </w:pPr>
            <w:r w:rsidRPr="008C70AB">
              <w:t>Equity Assurance Committee oversight + annual reporting</w:t>
            </w:r>
          </w:p>
        </w:tc>
        <w:tc>
          <w:tcPr>
            <w:tcW w:w="0" w:type="auto"/>
            <w:hideMark/>
          </w:tcPr>
          <w:p w14:paraId="5E4DB897" w14:textId="77777777" w:rsidR="007158F2" w:rsidRPr="008C70AB" w:rsidRDefault="007158F2" w:rsidP="008E26E9">
            <w:pPr>
              <w:spacing w:after="160" w:line="278" w:lineRule="auto"/>
            </w:pPr>
            <w:r w:rsidRPr="008C70AB">
              <w:t>3.3</w:t>
            </w:r>
          </w:p>
        </w:tc>
        <w:tc>
          <w:tcPr>
            <w:tcW w:w="0" w:type="auto"/>
            <w:hideMark/>
          </w:tcPr>
          <w:p w14:paraId="66AF5A8F" w14:textId="77777777" w:rsidR="007158F2" w:rsidRPr="008C70AB" w:rsidRDefault="007158F2" w:rsidP="008E26E9">
            <w:pPr>
              <w:spacing w:after="160" w:line="278" w:lineRule="auto"/>
            </w:pPr>
            <w:r w:rsidRPr="008C70AB">
              <w:t>“Progress against the goals set out in this document will be overseen by the Equity Assurance committee, and can be seen in our EDI Annual Reports…” (University of Salford, 2024b, p. 6)</w:t>
            </w:r>
          </w:p>
        </w:tc>
      </w:tr>
      <w:tr w:rsidR="007158F2" w:rsidRPr="0017282C" w14:paraId="12867FAD" w14:textId="77777777" w:rsidTr="008E26E9">
        <w:tc>
          <w:tcPr>
            <w:tcW w:w="0" w:type="auto"/>
            <w:hideMark/>
          </w:tcPr>
          <w:p w14:paraId="4D395327" w14:textId="77777777" w:rsidR="007158F2" w:rsidRPr="008C70AB" w:rsidRDefault="007158F2" w:rsidP="008E26E9">
            <w:pPr>
              <w:spacing w:after="160" w:line="278" w:lineRule="auto"/>
            </w:pPr>
            <w:r w:rsidRPr="008C70AB">
              <w:t>RQ3</w:t>
            </w:r>
          </w:p>
        </w:tc>
        <w:tc>
          <w:tcPr>
            <w:tcW w:w="0" w:type="auto"/>
            <w:hideMark/>
          </w:tcPr>
          <w:p w14:paraId="2B37CE85" w14:textId="77777777" w:rsidR="007158F2" w:rsidRPr="008C70AB" w:rsidRDefault="007158F2" w:rsidP="008E26E9">
            <w:pPr>
              <w:spacing w:after="160" w:line="278" w:lineRule="auto"/>
            </w:pPr>
            <w:r w:rsidRPr="008C70AB">
              <w:t>Committee reporting lines shaping implementation</w:t>
            </w:r>
          </w:p>
        </w:tc>
        <w:tc>
          <w:tcPr>
            <w:tcW w:w="0" w:type="auto"/>
            <w:hideMark/>
          </w:tcPr>
          <w:p w14:paraId="16FA8582" w14:textId="77777777" w:rsidR="007158F2" w:rsidRPr="008C70AB" w:rsidRDefault="007158F2" w:rsidP="008E26E9">
            <w:pPr>
              <w:spacing w:after="160" w:line="278" w:lineRule="auto"/>
            </w:pPr>
            <w:r w:rsidRPr="008C70AB">
              <w:t>Concordat governance + reporting line to Senate-level committee</w:t>
            </w:r>
          </w:p>
        </w:tc>
        <w:tc>
          <w:tcPr>
            <w:tcW w:w="0" w:type="auto"/>
            <w:hideMark/>
          </w:tcPr>
          <w:p w14:paraId="23E080C1" w14:textId="77777777" w:rsidR="007158F2" w:rsidRPr="008C70AB" w:rsidRDefault="007158F2" w:rsidP="008E26E9">
            <w:pPr>
              <w:spacing w:after="160" w:line="278" w:lineRule="auto"/>
            </w:pPr>
            <w:r w:rsidRPr="008C70AB">
              <w:t>3.3</w:t>
            </w:r>
          </w:p>
        </w:tc>
        <w:tc>
          <w:tcPr>
            <w:tcW w:w="0" w:type="auto"/>
            <w:hideMark/>
          </w:tcPr>
          <w:p w14:paraId="76B82C40" w14:textId="77777777" w:rsidR="007158F2" w:rsidRPr="008C70AB" w:rsidRDefault="007158F2" w:rsidP="008E26E9">
            <w:pPr>
              <w:spacing w:after="160" w:line="278" w:lineRule="auto"/>
            </w:pPr>
            <w:r w:rsidRPr="008C70AB">
              <w:t xml:space="preserve">“Relaunch the Researcher Development Working Group (RDWG) reporting to Research, Enterprise &amp; Innovation Committee (REIC; a committee of University Senate), which also manages our Concordat Action Plan and reporting.” </w:t>
            </w:r>
            <w:r w:rsidRPr="008C70AB">
              <w:lastRenderedPageBreak/>
              <w:t>(University of Salford, 2022, p. 1)</w:t>
            </w:r>
          </w:p>
        </w:tc>
      </w:tr>
      <w:tr w:rsidR="007158F2" w:rsidRPr="0017282C" w14:paraId="3909C8B4" w14:textId="77777777" w:rsidTr="008E26E9">
        <w:tc>
          <w:tcPr>
            <w:tcW w:w="0" w:type="auto"/>
            <w:hideMark/>
          </w:tcPr>
          <w:p w14:paraId="4CDCBD07" w14:textId="77777777" w:rsidR="007158F2" w:rsidRPr="008C70AB" w:rsidRDefault="007158F2" w:rsidP="008E26E9">
            <w:pPr>
              <w:spacing w:after="160" w:line="278" w:lineRule="auto"/>
            </w:pPr>
            <w:r w:rsidRPr="008C70AB">
              <w:lastRenderedPageBreak/>
              <w:t>RQ3</w:t>
            </w:r>
          </w:p>
        </w:tc>
        <w:tc>
          <w:tcPr>
            <w:tcW w:w="0" w:type="auto"/>
            <w:hideMark/>
          </w:tcPr>
          <w:p w14:paraId="4B4CA3B0" w14:textId="77777777" w:rsidR="007158F2" w:rsidRPr="008C70AB" w:rsidRDefault="007158F2" w:rsidP="008E26E9">
            <w:pPr>
              <w:spacing w:after="160" w:line="278" w:lineRule="auto"/>
            </w:pPr>
            <w:r w:rsidRPr="008C70AB">
              <w:t>Institutional compliance + monitoring infrastructure</w:t>
            </w:r>
          </w:p>
        </w:tc>
        <w:tc>
          <w:tcPr>
            <w:tcW w:w="0" w:type="auto"/>
            <w:hideMark/>
          </w:tcPr>
          <w:p w14:paraId="5630713A" w14:textId="77777777" w:rsidR="007158F2" w:rsidRPr="008C70AB" w:rsidRDefault="007158F2" w:rsidP="008E26E9">
            <w:pPr>
              <w:spacing w:after="160" w:line="278" w:lineRule="auto"/>
            </w:pPr>
            <w:r w:rsidRPr="008C70AB">
              <w:t>Statutory duty to publish pay gap information</w:t>
            </w:r>
          </w:p>
        </w:tc>
        <w:tc>
          <w:tcPr>
            <w:tcW w:w="0" w:type="auto"/>
            <w:hideMark/>
          </w:tcPr>
          <w:p w14:paraId="1B749331" w14:textId="77777777" w:rsidR="007158F2" w:rsidRPr="008C70AB" w:rsidRDefault="007158F2" w:rsidP="008E26E9">
            <w:pPr>
              <w:spacing w:after="160" w:line="278" w:lineRule="auto"/>
            </w:pPr>
            <w:r w:rsidRPr="008C70AB">
              <w:t>3.3</w:t>
            </w:r>
          </w:p>
        </w:tc>
        <w:tc>
          <w:tcPr>
            <w:tcW w:w="0" w:type="auto"/>
            <w:hideMark/>
          </w:tcPr>
          <w:p w14:paraId="623F7F76" w14:textId="77777777" w:rsidR="007158F2" w:rsidRPr="008C70AB" w:rsidRDefault="007158F2" w:rsidP="008E26E9">
            <w:pPr>
              <w:spacing w:after="160" w:line="278" w:lineRule="auto"/>
            </w:pPr>
            <w:r w:rsidRPr="008C70AB">
              <w:t>“In addition to complying with our specific duty under the Equality Act (2010), Public Sector Equality Duty (PSED) to publish our gender pay gap information…” (University of Salford, 2024a, p. 3)</w:t>
            </w:r>
          </w:p>
        </w:tc>
      </w:tr>
      <w:tr w:rsidR="007158F2" w:rsidRPr="0017282C" w14:paraId="1AAF6656" w14:textId="77777777" w:rsidTr="008E26E9">
        <w:tc>
          <w:tcPr>
            <w:tcW w:w="0" w:type="auto"/>
            <w:hideMark/>
          </w:tcPr>
          <w:p w14:paraId="47657E60" w14:textId="77777777" w:rsidR="007158F2" w:rsidRPr="008C70AB" w:rsidRDefault="007158F2" w:rsidP="008E26E9">
            <w:pPr>
              <w:spacing w:after="160" w:line="278" w:lineRule="auto"/>
            </w:pPr>
            <w:r w:rsidRPr="008C70AB">
              <w:t>RQ3</w:t>
            </w:r>
          </w:p>
        </w:tc>
        <w:tc>
          <w:tcPr>
            <w:tcW w:w="0" w:type="auto"/>
            <w:hideMark/>
          </w:tcPr>
          <w:p w14:paraId="1BAE12AD" w14:textId="77777777" w:rsidR="007158F2" w:rsidRPr="008C70AB" w:rsidRDefault="007158F2" w:rsidP="008E26E9">
            <w:pPr>
              <w:spacing w:after="160" w:line="278" w:lineRule="auto"/>
            </w:pPr>
            <w:r w:rsidRPr="008C70AB">
              <w:t>Institutional compliance + monitoring infrastructure</w:t>
            </w:r>
          </w:p>
        </w:tc>
        <w:tc>
          <w:tcPr>
            <w:tcW w:w="0" w:type="auto"/>
            <w:hideMark/>
          </w:tcPr>
          <w:p w14:paraId="000F3C9C" w14:textId="77777777" w:rsidR="007158F2" w:rsidRPr="008C70AB" w:rsidRDefault="007158F2" w:rsidP="008E26E9">
            <w:pPr>
              <w:spacing w:after="160" w:line="278" w:lineRule="auto"/>
            </w:pPr>
            <w:r w:rsidRPr="008C70AB">
              <w:t>Intersectional reporting mechanisms (ethnicity + disability)</w:t>
            </w:r>
          </w:p>
        </w:tc>
        <w:tc>
          <w:tcPr>
            <w:tcW w:w="0" w:type="auto"/>
            <w:hideMark/>
          </w:tcPr>
          <w:p w14:paraId="6394E444" w14:textId="77777777" w:rsidR="007158F2" w:rsidRPr="008C70AB" w:rsidRDefault="007158F2" w:rsidP="008E26E9">
            <w:pPr>
              <w:spacing w:after="160" w:line="278" w:lineRule="auto"/>
            </w:pPr>
            <w:r w:rsidRPr="008C70AB">
              <w:t>3.3</w:t>
            </w:r>
          </w:p>
        </w:tc>
        <w:tc>
          <w:tcPr>
            <w:tcW w:w="0" w:type="auto"/>
            <w:hideMark/>
          </w:tcPr>
          <w:p w14:paraId="6205FC5D" w14:textId="77777777" w:rsidR="007158F2" w:rsidRPr="008C70AB" w:rsidRDefault="007158F2" w:rsidP="008E26E9">
            <w:pPr>
              <w:spacing w:after="160" w:line="278" w:lineRule="auto"/>
            </w:pPr>
            <w:r w:rsidRPr="008C70AB">
              <w:t>“…we are committed to further examining pay gaps in relation to ethnicity and disability…” (University of Salford, 2024a, p. 3)</w:t>
            </w:r>
          </w:p>
        </w:tc>
      </w:tr>
      <w:tr w:rsidR="007158F2" w:rsidRPr="0017282C" w14:paraId="6FB7C750" w14:textId="77777777" w:rsidTr="008E26E9">
        <w:tc>
          <w:tcPr>
            <w:tcW w:w="0" w:type="auto"/>
            <w:hideMark/>
          </w:tcPr>
          <w:p w14:paraId="55F5AFF5" w14:textId="77777777" w:rsidR="007158F2" w:rsidRPr="008C70AB" w:rsidRDefault="007158F2" w:rsidP="008E26E9">
            <w:pPr>
              <w:spacing w:after="160" w:line="278" w:lineRule="auto"/>
            </w:pPr>
            <w:r w:rsidRPr="008C70AB">
              <w:t>RQ3</w:t>
            </w:r>
          </w:p>
        </w:tc>
        <w:tc>
          <w:tcPr>
            <w:tcW w:w="0" w:type="auto"/>
            <w:hideMark/>
          </w:tcPr>
          <w:p w14:paraId="4D6C251E" w14:textId="77777777" w:rsidR="007158F2" w:rsidRPr="008C70AB" w:rsidRDefault="007158F2" w:rsidP="008E26E9">
            <w:pPr>
              <w:spacing w:after="160" w:line="278" w:lineRule="auto"/>
            </w:pPr>
            <w:r w:rsidRPr="008C70AB">
              <w:t>Reporting and transparency channels</w:t>
            </w:r>
          </w:p>
        </w:tc>
        <w:tc>
          <w:tcPr>
            <w:tcW w:w="0" w:type="auto"/>
            <w:hideMark/>
          </w:tcPr>
          <w:p w14:paraId="48D8C4F1" w14:textId="77777777" w:rsidR="007158F2" w:rsidRPr="008C70AB" w:rsidRDefault="007158F2" w:rsidP="008E26E9">
            <w:pPr>
              <w:spacing w:after="160" w:line="278" w:lineRule="auto"/>
            </w:pPr>
            <w:r w:rsidRPr="008C70AB">
              <w:t>Progress communicated through annual reports</w:t>
            </w:r>
          </w:p>
        </w:tc>
        <w:tc>
          <w:tcPr>
            <w:tcW w:w="0" w:type="auto"/>
            <w:hideMark/>
          </w:tcPr>
          <w:p w14:paraId="3F08319C" w14:textId="77777777" w:rsidR="007158F2" w:rsidRPr="008C70AB" w:rsidRDefault="007158F2" w:rsidP="008E26E9">
            <w:pPr>
              <w:spacing w:after="160" w:line="278" w:lineRule="auto"/>
            </w:pPr>
            <w:r w:rsidRPr="008C70AB">
              <w:t>3.3</w:t>
            </w:r>
          </w:p>
        </w:tc>
        <w:tc>
          <w:tcPr>
            <w:tcW w:w="0" w:type="auto"/>
            <w:hideMark/>
          </w:tcPr>
          <w:p w14:paraId="38640244" w14:textId="77777777" w:rsidR="007158F2" w:rsidRPr="008C70AB" w:rsidRDefault="007158F2" w:rsidP="008E26E9">
            <w:pPr>
              <w:spacing w:after="160" w:line="278" w:lineRule="auto"/>
            </w:pPr>
            <w:r w:rsidRPr="008C70AB">
              <w:t>“You can find a detailed overview of progress against our plan in our EDI Annual Report 2024.” (University of Salford, 2024a, p. 5)</w:t>
            </w:r>
          </w:p>
        </w:tc>
      </w:tr>
      <w:tr w:rsidR="007158F2" w:rsidRPr="0017282C" w14:paraId="189A171C" w14:textId="77777777" w:rsidTr="008E26E9">
        <w:tc>
          <w:tcPr>
            <w:tcW w:w="0" w:type="auto"/>
            <w:hideMark/>
          </w:tcPr>
          <w:p w14:paraId="78663561" w14:textId="77777777" w:rsidR="007158F2" w:rsidRPr="008C70AB" w:rsidRDefault="007158F2" w:rsidP="008E26E9">
            <w:pPr>
              <w:spacing w:after="160" w:line="278" w:lineRule="auto"/>
            </w:pPr>
            <w:r w:rsidRPr="008C70AB">
              <w:t>RQ3</w:t>
            </w:r>
          </w:p>
        </w:tc>
        <w:tc>
          <w:tcPr>
            <w:tcW w:w="0" w:type="auto"/>
            <w:hideMark/>
          </w:tcPr>
          <w:p w14:paraId="041ACB0B" w14:textId="77777777" w:rsidR="007158F2" w:rsidRPr="008C70AB" w:rsidRDefault="007158F2" w:rsidP="008E26E9">
            <w:pPr>
              <w:spacing w:after="160" w:line="278" w:lineRule="auto"/>
            </w:pPr>
            <w:r w:rsidRPr="008C70AB">
              <w:t>Reporting and transparency channels</w:t>
            </w:r>
          </w:p>
        </w:tc>
        <w:tc>
          <w:tcPr>
            <w:tcW w:w="0" w:type="auto"/>
            <w:hideMark/>
          </w:tcPr>
          <w:p w14:paraId="12EC21C4" w14:textId="77777777" w:rsidR="007158F2" w:rsidRPr="008C70AB" w:rsidRDefault="007158F2" w:rsidP="008E26E9">
            <w:pPr>
              <w:spacing w:after="160" w:line="278" w:lineRule="auto"/>
            </w:pPr>
            <w:r w:rsidRPr="008C70AB">
              <w:t>Annual internal audits shared through institutional channels</w:t>
            </w:r>
          </w:p>
        </w:tc>
        <w:tc>
          <w:tcPr>
            <w:tcW w:w="0" w:type="auto"/>
            <w:hideMark/>
          </w:tcPr>
          <w:p w14:paraId="07D81B99" w14:textId="77777777" w:rsidR="007158F2" w:rsidRPr="008C70AB" w:rsidRDefault="007158F2" w:rsidP="008E26E9">
            <w:pPr>
              <w:spacing w:after="160" w:line="278" w:lineRule="auto"/>
            </w:pPr>
            <w:r w:rsidRPr="008C70AB">
              <w:t>3.3</w:t>
            </w:r>
          </w:p>
        </w:tc>
        <w:tc>
          <w:tcPr>
            <w:tcW w:w="0" w:type="auto"/>
            <w:hideMark/>
          </w:tcPr>
          <w:p w14:paraId="08A76353" w14:textId="77777777" w:rsidR="007158F2" w:rsidRPr="008C70AB" w:rsidRDefault="007158F2" w:rsidP="008E26E9">
            <w:pPr>
              <w:spacing w:after="160" w:line="278" w:lineRule="auto"/>
            </w:pPr>
            <w:r w:rsidRPr="008C70AB">
              <w:t xml:space="preserve">“Including annual internal audits shared on the EDI HUB and through the governance framework.” </w:t>
            </w:r>
            <w:r w:rsidRPr="008C70AB">
              <w:lastRenderedPageBreak/>
              <w:t>(University of Salford, 2024b, p. 5)</w:t>
            </w:r>
          </w:p>
        </w:tc>
      </w:tr>
      <w:tr w:rsidR="007158F2" w:rsidRPr="0017282C" w14:paraId="51582AB5" w14:textId="77777777" w:rsidTr="008E26E9">
        <w:tc>
          <w:tcPr>
            <w:tcW w:w="0" w:type="auto"/>
            <w:hideMark/>
          </w:tcPr>
          <w:p w14:paraId="6A754A3C" w14:textId="77777777" w:rsidR="007158F2" w:rsidRPr="008C70AB" w:rsidRDefault="007158F2" w:rsidP="008E26E9">
            <w:pPr>
              <w:spacing w:after="160" w:line="278" w:lineRule="auto"/>
            </w:pPr>
            <w:r w:rsidRPr="008C70AB">
              <w:lastRenderedPageBreak/>
              <w:t>RQ3</w:t>
            </w:r>
          </w:p>
        </w:tc>
        <w:tc>
          <w:tcPr>
            <w:tcW w:w="0" w:type="auto"/>
            <w:hideMark/>
          </w:tcPr>
          <w:p w14:paraId="30ADE16D" w14:textId="77777777" w:rsidR="007158F2" w:rsidRPr="008C70AB" w:rsidRDefault="007158F2" w:rsidP="008E26E9">
            <w:pPr>
              <w:spacing w:after="160" w:line="278" w:lineRule="auto"/>
            </w:pPr>
            <w:r w:rsidRPr="008C70AB">
              <w:t>Governance operating framework as structural condition</w:t>
            </w:r>
          </w:p>
        </w:tc>
        <w:tc>
          <w:tcPr>
            <w:tcW w:w="0" w:type="auto"/>
            <w:hideMark/>
          </w:tcPr>
          <w:p w14:paraId="19ADCF38" w14:textId="77777777" w:rsidR="007158F2" w:rsidRPr="008C70AB" w:rsidRDefault="007158F2" w:rsidP="008E26E9">
            <w:pPr>
              <w:spacing w:after="160" w:line="278" w:lineRule="auto"/>
            </w:pPr>
            <w:r w:rsidRPr="008C70AB">
              <w:t>Monitoring progress through governance/operating framework</w:t>
            </w:r>
          </w:p>
        </w:tc>
        <w:tc>
          <w:tcPr>
            <w:tcW w:w="0" w:type="auto"/>
            <w:hideMark/>
          </w:tcPr>
          <w:p w14:paraId="3BF348CC" w14:textId="77777777" w:rsidR="007158F2" w:rsidRPr="008C70AB" w:rsidRDefault="007158F2" w:rsidP="008E26E9">
            <w:pPr>
              <w:spacing w:after="160" w:line="278" w:lineRule="auto"/>
            </w:pPr>
            <w:r w:rsidRPr="008C70AB">
              <w:t>3.3</w:t>
            </w:r>
          </w:p>
        </w:tc>
        <w:tc>
          <w:tcPr>
            <w:tcW w:w="0" w:type="auto"/>
            <w:hideMark/>
          </w:tcPr>
          <w:p w14:paraId="7F3C8F73" w14:textId="77777777" w:rsidR="007158F2" w:rsidRPr="008C70AB" w:rsidRDefault="007158F2" w:rsidP="008E26E9">
            <w:pPr>
              <w:spacing w:after="160" w:line="278" w:lineRule="auto"/>
            </w:pPr>
            <w:r w:rsidRPr="008C70AB">
              <w:t>“We will continue to review and monitor progress against these actions through our EDI Governance and Operating Framework.” (University of Salford, 2024a, p. 11)</w:t>
            </w:r>
          </w:p>
        </w:tc>
      </w:tr>
    </w:tbl>
    <w:p w14:paraId="3E6B4C61" w14:textId="77777777" w:rsidR="007158F2" w:rsidRDefault="007158F2" w:rsidP="007158F2">
      <w:pPr>
        <w:rPr>
          <w:b/>
          <w:bCs/>
          <w:sz w:val="24"/>
          <w:szCs w:val="24"/>
        </w:rPr>
      </w:pPr>
    </w:p>
    <w:p w14:paraId="310127C1" w14:textId="77777777" w:rsidR="007158F2" w:rsidRDefault="007158F2" w:rsidP="007158F2">
      <w:pPr>
        <w:rPr>
          <w:b/>
          <w:bCs/>
          <w:sz w:val="24"/>
          <w:szCs w:val="24"/>
        </w:rPr>
      </w:pPr>
    </w:p>
    <w:p w14:paraId="19C46D03" w14:textId="77777777" w:rsidR="007158F2" w:rsidRDefault="007158F2" w:rsidP="007158F2">
      <w:pPr>
        <w:rPr>
          <w:b/>
          <w:bCs/>
          <w:sz w:val="24"/>
          <w:szCs w:val="24"/>
        </w:rPr>
      </w:pPr>
    </w:p>
    <w:p w14:paraId="355DEAEC" w14:textId="145EF407" w:rsidR="007158F2" w:rsidRPr="00985C38" w:rsidRDefault="007158F2" w:rsidP="007158F2">
      <w:pPr>
        <w:rPr>
          <w:b/>
          <w:bCs/>
          <w:sz w:val="24"/>
          <w:szCs w:val="24"/>
          <w:lang w:val="en-US"/>
        </w:rPr>
      </w:pPr>
      <w:r w:rsidRPr="00985C38">
        <w:rPr>
          <w:b/>
          <w:bCs/>
          <w:sz w:val="24"/>
          <w:szCs w:val="24"/>
        </w:rPr>
        <w:t>Table A4.2: Overview of Qualitative Data Analysis Underpinning RQ3 – University of Manchester (2020–2025)</w:t>
      </w:r>
    </w:p>
    <w:tbl>
      <w:tblPr>
        <w:tblStyle w:val="TableGrid"/>
        <w:tblW w:w="0" w:type="auto"/>
        <w:tblLook w:val="04A0" w:firstRow="1" w:lastRow="0" w:firstColumn="1" w:lastColumn="0" w:noHBand="0" w:noVBand="1"/>
      </w:tblPr>
      <w:tblGrid>
        <w:gridCol w:w="1735"/>
        <w:gridCol w:w="1610"/>
        <w:gridCol w:w="3026"/>
        <w:gridCol w:w="1073"/>
        <w:gridCol w:w="1572"/>
      </w:tblGrid>
      <w:tr w:rsidR="007158F2" w:rsidRPr="008A31C2" w14:paraId="1E30E1F0" w14:textId="77777777" w:rsidTr="008E26E9">
        <w:tc>
          <w:tcPr>
            <w:tcW w:w="0" w:type="auto"/>
            <w:shd w:val="clear" w:color="auto" w:fill="4C94D8" w:themeFill="text2" w:themeFillTint="80"/>
            <w:hideMark/>
          </w:tcPr>
          <w:p w14:paraId="6F0A36B9" w14:textId="77777777" w:rsidR="007158F2" w:rsidRDefault="007158F2" w:rsidP="008E26E9">
            <w:pPr>
              <w:rPr>
                <w:b/>
                <w:bCs/>
              </w:rPr>
            </w:pPr>
          </w:p>
          <w:p w14:paraId="75E252FC" w14:textId="77777777" w:rsidR="007158F2" w:rsidRPr="008A31C2" w:rsidRDefault="007158F2" w:rsidP="008E26E9">
            <w:pPr>
              <w:spacing w:after="160" w:line="278" w:lineRule="auto"/>
              <w:rPr>
                <w:b/>
                <w:bCs/>
              </w:rPr>
            </w:pPr>
            <w:r w:rsidRPr="008A31C2">
              <w:rPr>
                <w:b/>
                <w:bCs/>
              </w:rPr>
              <w:t>Research Question</w:t>
            </w:r>
          </w:p>
        </w:tc>
        <w:tc>
          <w:tcPr>
            <w:tcW w:w="0" w:type="auto"/>
            <w:shd w:val="clear" w:color="auto" w:fill="4C94D8" w:themeFill="text2" w:themeFillTint="80"/>
            <w:hideMark/>
          </w:tcPr>
          <w:p w14:paraId="06969073" w14:textId="77777777" w:rsidR="007158F2" w:rsidRPr="008A31C2" w:rsidRDefault="007158F2" w:rsidP="008E26E9">
            <w:pPr>
              <w:spacing w:after="160" w:line="278" w:lineRule="auto"/>
              <w:rPr>
                <w:b/>
                <w:bCs/>
              </w:rPr>
            </w:pPr>
            <w:r w:rsidRPr="008A31C2">
              <w:rPr>
                <w:b/>
                <w:bCs/>
              </w:rPr>
              <w:t>Main Theme</w:t>
            </w:r>
          </w:p>
        </w:tc>
        <w:tc>
          <w:tcPr>
            <w:tcW w:w="0" w:type="auto"/>
            <w:shd w:val="clear" w:color="auto" w:fill="4C94D8" w:themeFill="text2" w:themeFillTint="80"/>
            <w:hideMark/>
          </w:tcPr>
          <w:p w14:paraId="59304BD7" w14:textId="77777777" w:rsidR="007158F2" w:rsidRPr="008A31C2" w:rsidRDefault="007158F2" w:rsidP="008E26E9">
            <w:pPr>
              <w:spacing w:after="160" w:line="278" w:lineRule="auto"/>
              <w:rPr>
                <w:b/>
                <w:bCs/>
              </w:rPr>
            </w:pPr>
            <w:r w:rsidRPr="008A31C2">
              <w:rPr>
                <w:b/>
                <w:bCs/>
              </w:rPr>
              <w:t>Sub-theme / Code</w:t>
            </w:r>
          </w:p>
        </w:tc>
        <w:tc>
          <w:tcPr>
            <w:tcW w:w="0" w:type="auto"/>
            <w:shd w:val="clear" w:color="auto" w:fill="4C94D8" w:themeFill="text2" w:themeFillTint="80"/>
            <w:hideMark/>
          </w:tcPr>
          <w:p w14:paraId="2CDA5C8F" w14:textId="77777777" w:rsidR="007158F2" w:rsidRPr="008A31C2" w:rsidRDefault="007158F2" w:rsidP="008E26E9">
            <w:pPr>
              <w:spacing w:after="160" w:line="278" w:lineRule="auto"/>
              <w:rPr>
                <w:b/>
                <w:bCs/>
              </w:rPr>
            </w:pPr>
            <w:r w:rsidRPr="008A31C2">
              <w:rPr>
                <w:b/>
                <w:bCs/>
              </w:rPr>
              <w:t>Findings Section Ref</w:t>
            </w:r>
          </w:p>
        </w:tc>
        <w:tc>
          <w:tcPr>
            <w:tcW w:w="0" w:type="auto"/>
            <w:shd w:val="clear" w:color="auto" w:fill="4C94D8" w:themeFill="text2" w:themeFillTint="80"/>
            <w:hideMark/>
          </w:tcPr>
          <w:p w14:paraId="501DB18A" w14:textId="77777777" w:rsidR="007158F2" w:rsidRPr="008A31C2" w:rsidRDefault="007158F2" w:rsidP="008E26E9">
            <w:pPr>
              <w:spacing w:after="160" w:line="278" w:lineRule="auto"/>
              <w:rPr>
                <w:b/>
                <w:bCs/>
              </w:rPr>
            </w:pPr>
            <w:r w:rsidRPr="008C70AB">
              <w:rPr>
                <w:b/>
                <w:bCs/>
              </w:rPr>
              <w:t xml:space="preserve">Illustrative Extract </w:t>
            </w:r>
          </w:p>
        </w:tc>
      </w:tr>
      <w:tr w:rsidR="007158F2" w:rsidRPr="008A31C2" w14:paraId="0A05164A" w14:textId="77777777" w:rsidTr="008E26E9">
        <w:tc>
          <w:tcPr>
            <w:tcW w:w="0" w:type="auto"/>
            <w:hideMark/>
          </w:tcPr>
          <w:p w14:paraId="54586FC1" w14:textId="77777777" w:rsidR="007158F2" w:rsidRPr="008A31C2" w:rsidRDefault="007158F2" w:rsidP="008E26E9">
            <w:pPr>
              <w:spacing w:after="160" w:line="278" w:lineRule="auto"/>
            </w:pPr>
            <w:r w:rsidRPr="008A31C2">
              <w:rPr>
                <w:b/>
                <w:bCs/>
              </w:rPr>
              <w:t>RQ3: What organisational and structural conditions shaped the implementation of EDI strategies and gender pay monitoring?</w:t>
            </w:r>
          </w:p>
        </w:tc>
        <w:tc>
          <w:tcPr>
            <w:tcW w:w="0" w:type="auto"/>
            <w:hideMark/>
          </w:tcPr>
          <w:p w14:paraId="5FC42876" w14:textId="77777777" w:rsidR="007158F2" w:rsidRPr="008A31C2" w:rsidRDefault="007158F2" w:rsidP="008E26E9">
            <w:pPr>
              <w:spacing w:after="160" w:line="278" w:lineRule="auto"/>
            </w:pPr>
            <w:r w:rsidRPr="008A31C2">
              <w:t>Data infrastructure enabling monitoring</w:t>
            </w:r>
          </w:p>
        </w:tc>
        <w:tc>
          <w:tcPr>
            <w:tcW w:w="0" w:type="auto"/>
            <w:hideMark/>
          </w:tcPr>
          <w:p w14:paraId="03511F8C" w14:textId="77777777" w:rsidR="007158F2" w:rsidRPr="008A31C2" w:rsidRDefault="007158F2" w:rsidP="008E26E9">
            <w:pPr>
              <w:spacing w:after="160" w:line="278" w:lineRule="auto"/>
            </w:pPr>
            <w:r w:rsidRPr="008A31C2">
              <w:t>Equality data used for policy change + monitoring</w:t>
            </w:r>
          </w:p>
        </w:tc>
        <w:tc>
          <w:tcPr>
            <w:tcW w:w="0" w:type="auto"/>
            <w:hideMark/>
          </w:tcPr>
          <w:p w14:paraId="5A33E7D1" w14:textId="77777777" w:rsidR="007158F2" w:rsidRPr="004204CB" w:rsidRDefault="007158F2" w:rsidP="008E26E9">
            <w:pPr>
              <w:spacing w:after="160" w:line="278" w:lineRule="auto"/>
            </w:pPr>
            <w:r w:rsidRPr="004204CB">
              <w:t>3.3</w:t>
            </w:r>
          </w:p>
        </w:tc>
        <w:tc>
          <w:tcPr>
            <w:tcW w:w="0" w:type="auto"/>
            <w:hideMark/>
          </w:tcPr>
          <w:p w14:paraId="14513258" w14:textId="77777777" w:rsidR="007158F2" w:rsidRPr="008A31C2" w:rsidRDefault="007158F2" w:rsidP="008E26E9">
            <w:pPr>
              <w:spacing w:after="160" w:line="278" w:lineRule="auto"/>
            </w:pPr>
            <w:r w:rsidRPr="008A31C2">
              <w:t xml:space="preserve">“This report has been prepared by the EDI Directorate’s Data Team, to review the University’s equality data, to inform and facilitate policy change, intervention strategies, and the continued </w:t>
            </w:r>
            <w:r w:rsidRPr="008A31C2">
              <w:lastRenderedPageBreak/>
              <w:t xml:space="preserve">monitoring of change, in accordance with the 2010 Equality Act’s annual publication requirements.” </w:t>
            </w:r>
            <w:r w:rsidRPr="008A31C2">
              <w:rPr>
                <w:i/>
                <w:iCs/>
              </w:rPr>
              <w:t xml:space="preserve">(University of Manchester, 2025, p. </w:t>
            </w:r>
            <w:r>
              <w:rPr>
                <w:i/>
                <w:iCs/>
              </w:rPr>
              <w:t>5</w:t>
            </w:r>
            <w:r w:rsidRPr="008A31C2">
              <w:rPr>
                <w:i/>
                <w:iCs/>
              </w:rPr>
              <w:t>).</w:t>
            </w:r>
          </w:p>
        </w:tc>
      </w:tr>
      <w:tr w:rsidR="007158F2" w:rsidRPr="008A31C2" w14:paraId="712C03C6" w14:textId="77777777" w:rsidTr="008E26E9">
        <w:tc>
          <w:tcPr>
            <w:tcW w:w="0" w:type="auto"/>
            <w:hideMark/>
          </w:tcPr>
          <w:p w14:paraId="0034D0D4" w14:textId="77777777" w:rsidR="007158F2" w:rsidRPr="008A31C2" w:rsidRDefault="007158F2" w:rsidP="008E26E9">
            <w:pPr>
              <w:spacing w:after="160" w:line="278" w:lineRule="auto"/>
            </w:pPr>
            <w:r w:rsidRPr="008A31C2">
              <w:lastRenderedPageBreak/>
              <w:t>RQ3</w:t>
            </w:r>
          </w:p>
        </w:tc>
        <w:tc>
          <w:tcPr>
            <w:tcW w:w="0" w:type="auto"/>
            <w:hideMark/>
          </w:tcPr>
          <w:p w14:paraId="053C147C" w14:textId="77777777" w:rsidR="007158F2" w:rsidRPr="008A31C2" w:rsidRDefault="007158F2" w:rsidP="008E26E9">
            <w:pPr>
              <w:spacing w:after="160" w:line="278" w:lineRule="auto"/>
            </w:pPr>
            <w:r w:rsidRPr="008A31C2">
              <w:t>Data infrastructure enabling monitoring</w:t>
            </w:r>
          </w:p>
        </w:tc>
        <w:tc>
          <w:tcPr>
            <w:tcW w:w="0" w:type="auto"/>
            <w:hideMark/>
          </w:tcPr>
          <w:p w14:paraId="6CEA86C1" w14:textId="77777777" w:rsidR="007158F2" w:rsidRPr="008A31C2" w:rsidRDefault="007158F2" w:rsidP="008E26E9">
            <w:pPr>
              <w:spacing w:after="160" w:line="278" w:lineRule="auto"/>
            </w:pPr>
            <w:r w:rsidRPr="008A31C2">
              <w:t>Use of real-time, quality-checked institutional data</w:t>
            </w:r>
          </w:p>
        </w:tc>
        <w:tc>
          <w:tcPr>
            <w:tcW w:w="0" w:type="auto"/>
            <w:hideMark/>
          </w:tcPr>
          <w:p w14:paraId="7C407AAE" w14:textId="77777777" w:rsidR="007158F2" w:rsidRPr="008A31C2" w:rsidRDefault="007158F2" w:rsidP="008E26E9">
            <w:pPr>
              <w:spacing w:after="160" w:line="278" w:lineRule="auto"/>
            </w:pPr>
            <w:r w:rsidRPr="008A31C2">
              <w:t>3.3</w:t>
            </w:r>
          </w:p>
        </w:tc>
        <w:tc>
          <w:tcPr>
            <w:tcW w:w="0" w:type="auto"/>
            <w:hideMark/>
          </w:tcPr>
          <w:p w14:paraId="50AF53BB" w14:textId="77777777" w:rsidR="007158F2" w:rsidRPr="008A31C2" w:rsidRDefault="007158F2" w:rsidP="008E26E9">
            <w:pPr>
              <w:spacing w:after="160" w:line="278" w:lineRule="auto"/>
            </w:pPr>
            <w:r w:rsidRPr="008A31C2">
              <w:t xml:space="preserve">“In developing this report, we collaborated with the Directorate of Planning and Directorate of People to use real-time, streamlined and quality-checked data.” </w:t>
            </w:r>
            <w:r w:rsidRPr="008A31C2">
              <w:rPr>
                <w:i/>
                <w:iCs/>
              </w:rPr>
              <w:t xml:space="preserve">(University of Manchester, 2025, p. </w:t>
            </w:r>
            <w:r>
              <w:rPr>
                <w:i/>
                <w:iCs/>
              </w:rPr>
              <w:t>5</w:t>
            </w:r>
            <w:r w:rsidRPr="008A31C2">
              <w:rPr>
                <w:i/>
                <w:iCs/>
              </w:rPr>
              <w:t>).</w:t>
            </w:r>
          </w:p>
        </w:tc>
      </w:tr>
      <w:tr w:rsidR="007158F2" w:rsidRPr="008A31C2" w14:paraId="1D823A25" w14:textId="77777777" w:rsidTr="008E26E9">
        <w:tc>
          <w:tcPr>
            <w:tcW w:w="0" w:type="auto"/>
            <w:hideMark/>
          </w:tcPr>
          <w:p w14:paraId="4099B0C6" w14:textId="77777777" w:rsidR="007158F2" w:rsidRPr="008A31C2" w:rsidRDefault="007158F2" w:rsidP="008E26E9">
            <w:pPr>
              <w:spacing w:after="160" w:line="278" w:lineRule="auto"/>
            </w:pPr>
            <w:r w:rsidRPr="008A31C2">
              <w:t>RQ3</w:t>
            </w:r>
          </w:p>
        </w:tc>
        <w:tc>
          <w:tcPr>
            <w:tcW w:w="0" w:type="auto"/>
            <w:hideMark/>
          </w:tcPr>
          <w:p w14:paraId="631F80DB" w14:textId="77777777" w:rsidR="007158F2" w:rsidRPr="008A31C2" w:rsidRDefault="007158F2" w:rsidP="008E26E9">
            <w:pPr>
              <w:spacing w:after="160" w:line="278" w:lineRule="auto"/>
            </w:pPr>
            <w:r w:rsidRPr="008A31C2">
              <w:t>Governance and accountability structures</w:t>
            </w:r>
          </w:p>
        </w:tc>
        <w:tc>
          <w:tcPr>
            <w:tcW w:w="0" w:type="auto"/>
            <w:hideMark/>
          </w:tcPr>
          <w:p w14:paraId="4A9F4519" w14:textId="77777777" w:rsidR="007158F2" w:rsidRPr="008A31C2" w:rsidRDefault="007158F2" w:rsidP="008E26E9">
            <w:pPr>
              <w:spacing w:after="160" w:line="278" w:lineRule="auto"/>
            </w:pPr>
            <w:r w:rsidRPr="008A31C2">
              <w:t>Central oversight (EDI Directorate)</w:t>
            </w:r>
          </w:p>
        </w:tc>
        <w:tc>
          <w:tcPr>
            <w:tcW w:w="0" w:type="auto"/>
            <w:hideMark/>
          </w:tcPr>
          <w:p w14:paraId="5B2AAD5E" w14:textId="77777777" w:rsidR="007158F2" w:rsidRPr="008A31C2" w:rsidRDefault="007158F2" w:rsidP="008E26E9">
            <w:pPr>
              <w:spacing w:after="160" w:line="278" w:lineRule="auto"/>
            </w:pPr>
            <w:r w:rsidRPr="008A31C2">
              <w:t>3.3</w:t>
            </w:r>
          </w:p>
        </w:tc>
        <w:tc>
          <w:tcPr>
            <w:tcW w:w="0" w:type="auto"/>
            <w:hideMark/>
          </w:tcPr>
          <w:p w14:paraId="0F49CE76" w14:textId="77777777" w:rsidR="007158F2" w:rsidRPr="008A31C2" w:rsidRDefault="007158F2" w:rsidP="008E26E9">
            <w:pPr>
              <w:spacing w:after="160" w:line="278" w:lineRule="auto"/>
            </w:pPr>
            <w:r w:rsidRPr="008A31C2">
              <w:t xml:space="preserve">“The EDI Directorate has overall oversight of EDI coordination and management across the University, leading the development and monitoring of the EDI strategy.” </w:t>
            </w:r>
            <w:r w:rsidRPr="008A31C2">
              <w:rPr>
                <w:i/>
                <w:iCs/>
              </w:rPr>
              <w:lastRenderedPageBreak/>
              <w:t>(University of Manchester, 2025, p. 4).</w:t>
            </w:r>
          </w:p>
        </w:tc>
      </w:tr>
      <w:tr w:rsidR="007158F2" w:rsidRPr="008A31C2" w14:paraId="4AFC0C8C" w14:textId="77777777" w:rsidTr="008E26E9">
        <w:tc>
          <w:tcPr>
            <w:tcW w:w="0" w:type="auto"/>
            <w:hideMark/>
          </w:tcPr>
          <w:p w14:paraId="27FD568A" w14:textId="77777777" w:rsidR="007158F2" w:rsidRPr="008A31C2" w:rsidRDefault="007158F2" w:rsidP="008E26E9">
            <w:pPr>
              <w:spacing w:after="160" w:line="278" w:lineRule="auto"/>
            </w:pPr>
            <w:r w:rsidRPr="008A31C2">
              <w:lastRenderedPageBreak/>
              <w:t>RQ3</w:t>
            </w:r>
          </w:p>
        </w:tc>
        <w:tc>
          <w:tcPr>
            <w:tcW w:w="0" w:type="auto"/>
            <w:hideMark/>
          </w:tcPr>
          <w:p w14:paraId="3CEDAF58" w14:textId="77777777" w:rsidR="007158F2" w:rsidRPr="008A31C2" w:rsidRDefault="007158F2" w:rsidP="008E26E9">
            <w:pPr>
              <w:spacing w:after="160" w:line="278" w:lineRule="auto"/>
            </w:pPr>
            <w:r w:rsidRPr="008A31C2">
              <w:t>Distributed leadership for implementation</w:t>
            </w:r>
          </w:p>
        </w:tc>
        <w:tc>
          <w:tcPr>
            <w:tcW w:w="0" w:type="auto"/>
            <w:hideMark/>
          </w:tcPr>
          <w:p w14:paraId="056C9A30" w14:textId="77777777" w:rsidR="007158F2" w:rsidRPr="008A31C2" w:rsidRDefault="007158F2" w:rsidP="008E26E9">
            <w:pPr>
              <w:spacing w:after="160" w:line="278" w:lineRule="auto"/>
            </w:pPr>
            <w:r w:rsidRPr="008A31C2">
              <w:t>Named academic leads for equality objectives</w:t>
            </w:r>
          </w:p>
        </w:tc>
        <w:tc>
          <w:tcPr>
            <w:tcW w:w="0" w:type="auto"/>
            <w:hideMark/>
          </w:tcPr>
          <w:p w14:paraId="3263E766" w14:textId="77777777" w:rsidR="007158F2" w:rsidRPr="008A31C2" w:rsidRDefault="007158F2" w:rsidP="008E26E9">
            <w:pPr>
              <w:spacing w:after="160" w:line="278" w:lineRule="auto"/>
            </w:pPr>
            <w:r w:rsidRPr="008A31C2">
              <w:t>3.3</w:t>
            </w:r>
          </w:p>
        </w:tc>
        <w:tc>
          <w:tcPr>
            <w:tcW w:w="0" w:type="auto"/>
            <w:hideMark/>
          </w:tcPr>
          <w:p w14:paraId="3DB1043A" w14:textId="77777777" w:rsidR="007158F2" w:rsidRPr="008A31C2" w:rsidRDefault="007158F2" w:rsidP="008E26E9">
            <w:pPr>
              <w:spacing w:after="160" w:line="278" w:lineRule="auto"/>
            </w:pPr>
            <w:r w:rsidRPr="008A31C2">
              <w:t xml:space="preserve">“We have designated academic leads for gender and sexual orientation, race and religion, and disability.” </w:t>
            </w:r>
            <w:r w:rsidRPr="008A31C2">
              <w:rPr>
                <w:i/>
                <w:iCs/>
              </w:rPr>
              <w:t>(University of Manchester, 2025, p. 5).</w:t>
            </w:r>
          </w:p>
        </w:tc>
      </w:tr>
      <w:tr w:rsidR="007158F2" w:rsidRPr="008A31C2" w14:paraId="5959D91C" w14:textId="77777777" w:rsidTr="008E26E9">
        <w:tc>
          <w:tcPr>
            <w:tcW w:w="0" w:type="auto"/>
            <w:hideMark/>
          </w:tcPr>
          <w:p w14:paraId="427A2AC7" w14:textId="77777777" w:rsidR="007158F2" w:rsidRPr="008A31C2" w:rsidRDefault="007158F2" w:rsidP="008E26E9">
            <w:pPr>
              <w:spacing w:after="160" w:line="278" w:lineRule="auto"/>
            </w:pPr>
            <w:r w:rsidRPr="008A31C2">
              <w:t>RQ3</w:t>
            </w:r>
          </w:p>
        </w:tc>
        <w:tc>
          <w:tcPr>
            <w:tcW w:w="0" w:type="auto"/>
            <w:hideMark/>
          </w:tcPr>
          <w:p w14:paraId="63C7FEEA" w14:textId="77777777" w:rsidR="007158F2" w:rsidRPr="008A31C2" w:rsidRDefault="007158F2" w:rsidP="008E26E9">
            <w:pPr>
              <w:spacing w:after="160" w:line="278" w:lineRule="auto"/>
            </w:pPr>
            <w:r w:rsidRPr="008A31C2">
              <w:t>Inclusive governance practice</w:t>
            </w:r>
          </w:p>
        </w:tc>
        <w:tc>
          <w:tcPr>
            <w:tcW w:w="0" w:type="auto"/>
            <w:hideMark/>
          </w:tcPr>
          <w:p w14:paraId="0A8B430F" w14:textId="77777777" w:rsidR="007158F2" w:rsidRPr="008A31C2" w:rsidRDefault="007158F2" w:rsidP="008E26E9">
            <w:pPr>
              <w:spacing w:after="160" w:line="278" w:lineRule="auto"/>
            </w:pPr>
            <w:r w:rsidRPr="008A31C2">
              <w:t>Staff networks linked to governance (EDI Committee)</w:t>
            </w:r>
          </w:p>
        </w:tc>
        <w:tc>
          <w:tcPr>
            <w:tcW w:w="0" w:type="auto"/>
            <w:hideMark/>
          </w:tcPr>
          <w:p w14:paraId="1B984715" w14:textId="77777777" w:rsidR="007158F2" w:rsidRPr="008A31C2" w:rsidRDefault="007158F2" w:rsidP="008E26E9">
            <w:pPr>
              <w:spacing w:after="160" w:line="278" w:lineRule="auto"/>
            </w:pPr>
            <w:r w:rsidRPr="008A31C2">
              <w:t>3.3</w:t>
            </w:r>
          </w:p>
        </w:tc>
        <w:tc>
          <w:tcPr>
            <w:tcW w:w="0" w:type="auto"/>
            <w:hideMark/>
          </w:tcPr>
          <w:p w14:paraId="3BEB9FAF" w14:textId="77777777" w:rsidR="007158F2" w:rsidRPr="008A31C2" w:rsidRDefault="007158F2" w:rsidP="008E26E9">
            <w:pPr>
              <w:spacing w:after="160" w:line="278" w:lineRule="auto"/>
            </w:pPr>
            <w:r w:rsidRPr="008A31C2">
              <w:t xml:space="preserve">“Staff networks provide a key platform for diverse voices to advocate for improvements and contribute directly to the EDI Committee.” </w:t>
            </w:r>
            <w:r w:rsidRPr="008A31C2">
              <w:rPr>
                <w:i/>
                <w:iCs/>
              </w:rPr>
              <w:t>(University of Manchester, 2025, p. 5).</w:t>
            </w:r>
          </w:p>
        </w:tc>
      </w:tr>
      <w:tr w:rsidR="007158F2" w:rsidRPr="008A31C2" w14:paraId="0FCEFE08" w14:textId="77777777" w:rsidTr="008E26E9">
        <w:tc>
          <w:tcPr>
            <w:tcW w:w="0" w:type="auto"/>
            <w:hideMark/>
          </w:tcPr>
          <w:p w14:paraId="66EAED86" w14:textId="77777777" w:rsidR="007158F2" w:rsidRPr="008A31C2" w:rsidRDefault="007158F2" w:rsidP="008E26E9">
            <w:pPr>
              <w:spacing w:after="160" w:line="278" w:lineRule="auto"/>
            </w:pPr>
            <w:r w:rsidRPr="008A31C2">
              <w:t>RQ3</w:t>
            </w:r>
          </w:p>
        </w:tc>
        <w:tc>
          <w:tcPr>
            <w:tcW w:w="0" w:type="auto"/>
            <w:hideMark/>
          </w:tcPr>
          <w:p w14:paraId="5DA70C2A" w14:textId="77777777" w:rsidR="007158F2" w:rsidRPr="008A31C2" w:rsidRDefault="007158F2" w:rsidP="008E26E9">
            <w:pPr>
              <w:spacing w:after="160" w:line="278" w:lineRule="auto"/>
            </w:pPr>
            <w:r w:rsidRPr="008A31C2">
              <w:t>Faculty-level organisational capacity</w:t>
            </w:r>
          </w:p>
        </w:tc>
        <w:tc>
          <w:tcPr>
            <w:tcW w:w="0" w:type="auto"/>
            <w:hideMark/>
          </w:tcPr>
          <w:p w14:paraId="6C8A82F8" w14:textId="77777777" w:rsidR="007158F2" w:rsidRPr="008A31C2" w:rsidRDefault="007158F2" w:rsidP="008E26E9">
            <w:pPr>
              <w:spacing w:after="160" w:line="278" w:lineRule="auto"/>
            </w:pPr>
            <w:r w:rsidRPr="008A31C2">
              <w:t>Faculty EDI colleagues as implementation partners</w:t>
            </w:r>
          </w:p>
        </w:tc>
        <w:tc>
          <w:tcPr>
            <w:tcW w:w="0" w:type="auto"/>
            <w:hideMark/>
          </w:tcPr>
          <w:p w14:paraId="18CF4A86" w14:textId="77777777" w:rsidR="007158F2" w:rsidRPr="008A31C2" w:rsidRDefault="007158F2" w:rsidP="008E26E9">
            <w:pPr>
              <w:spacing w:after="160" w:line="278" w:lineRule="auto"/>
            </w:pPr>
            <w:r w:rsidRPr="008A31C2">
              <w:t>3.3</w:t>
            </w:r>
          </w:p>
        </w:tc>
        <w:tc>
          <w:tcPr>
            <w:tcW w:w="0" w:type="auto"/>
            <w:hideMark/>
          </w:tcPr>
          <w:p w14:paraId="636AB5D8" w14:textId="77777777" w:rsidR="007158F2" w:rsidRPr="008A31C2" w:rsidRDefault="007158F2" w:rsidP="008E26E9">
            <w:pPr>
              <w:spacing w:after="160" w:line="278" w:lineRule="auto"/>
            </w:pPr>
            <w:r w:rsidRPr="008A31C2">
              <w:t xml:space="preserve">“Faculty-based EDI colleagues are also essential strategic partners in implementing EDI initiatives, promoting inclusive practices, </w:t>
            </w:r>
            <w:r w:rsidRPr="008A31C2">
              <w:lastRenderedPageBreak/>
              <w:t xml:space="preserve">and coordinating events across their institutional units.” </w:t>
            </w:r>
            <w:r w:rsidRPr="008A31C2">
              <w:rPr>
                <w:i/>
                <w:iCs/>
              </w:rPr>
              <w:t>(University of Manchester, 2025, p. 5).</w:t>
            </w:r>
          </w:p>
        </w:tc>
      </w:tr>
      <w:tr w:rsidR="007158F2" w:rsidRPr="008A31C2" w14:paraId="25BFDAB1" w14:textId="77777777" w:rsidTr="008E26E9">
        <w:tc>
          <w:tcPr>
            <w:tcW w:w="0" w:type="auto"/>
            <w:hideMark/>
          </w:tcPr>
          <w:p w14:paraId="12F4353A" w14:textId="77777777" w:rsidR="007158F2" w:rsidRPr="008A31C2" w:rsidRDefault="007158F2" w:rsidP="008E26E9">
            <w:pPr>
              <w:spacing w:after="160" w:line="278" w:lineRule="auto"/>
            </w:pPr>
            <w:r w:rsidRPr="008A31C2">
              <w:lastRenderedPageBreak/>
              <w:t>RQ3</w:t>
            </w:r>
          </w:p>
        </w:tc>
        <w:tc>
          <w:tcPr>
            <w:tcW w:w="0" w:type="auto"/>
            <w:hideMark/>
          </w:tcPr>
          <w:p w14:paraId="3DAAAE03" w14:textId="77777777" w:rsidR="007158F2" w:rsidRPr="008A31C2" w:rsidRDefault="007158F2" w:rsidP="008E26E9">
            <w:pPr>
              <w:spacing w:after="160" w:line="278" w:lineRule="auto"/>
            </w:pPr>
            <w:r w:rsidRPr="008A31C2">
              <w:t>External frameworks shaping organisational conditions</w:t>
            </w:r>
          </w:p>
        </w:tc>
        <w:tc>
          <w:tcPr>
            <w:tcW w:w="0" w:type="auto"/>
            <w:hideMark/>
          </w:tcPr>
          <w:p w14:paraId="57E28EEB" w14:textId="77777777" w:rsidR="007158F2" w:rsidRPr="008A31C2" w:rsidRDefault="007158F2" w:rsidP="008E26E9">
            <w:pPr>
              <w:spacing w:after="160" w:line="278" w:lineRule="auto"/>
            </w:pPr>
            <w:r w:rsidRPr="008A31C2">
              <w:t>Charter marks shaping EDI accountability</w:t>
            </w:r>
          </w:p>
        </w:tc>
        <w:tc>
          <w:tcPr>
            <w:tcW w:w="0" w:type="auto"/>
            <w:hideMark/>
          </w:tcPr>
          <w:p w14:paraId="2991A171" w14:textId="77777777" w:rsidR="007158F2" w:rsidRPr="008A31C2" w:rsidRDefault="007158F2" w:rsidP="008E26E9">
            <w:pPr>
              <w:spacing w:after="160" w:line="278" w:lineRule="auto"/>
            </w:pPr>
            <w:r w:rsidRPr="008A31C2">
              <w:t>3.3</w:t>
            </w:r>
          </w:p>
        </w:tc>
        <w:tc>
          <w:tcPr>
            <w:tcW w:w="0" w:type="auto"/>
            <w:hideMark/>
          </w:tcPr>
          <w:p w14:paraId="52EB3E3F" w14:textId="77777777" w:rsidR="007158F2" w:rsidRPr="008A31C2" w:rsidRDefault="007158F2" w:rsidP="008E26E9">
            <w:pPr>
              <w:spacing w:after="160" w:line="278" w:lineRule="auto"/>
            </w:pPr>
            <w:r w:rsidRPr="008A31C2">
              <w:t xml:space="preserve">“Part of this is acknowledged by recent University Charter Mark submissions, including Silver Athena SWAN and Silver Race Equality Charter.” </w:t>
            </w:r>
            <w:r w:rsidRPr="008A31C2">
              <w:rPr>
                <w:i/>
                <w:iCs/>
              </w:rPr>
              <w:t>(University of Manchester, 2025, p</w:t>
            </w:r>
            <w:r>
              <w:rPr>
                <w:i/>
                <w:iCs/>
              </w:rPr>
              <w:t>.5</w:t>
            </w:r>
            <w:r w:rsidRPr="008A31C2">
              <w:rPr>
                <w:i/>
                <w:iCs/>
              </w:rPr>
              <w:t>).</w:t>
            </w:r>
          </w:p>
        </w:tc>
      </w:tr>
      <w:tr w:rsidR="007158F2" w:rsidRPr="008A31C2" w14:paraId="4F8F5F07" w14:textId="77777777" w:rsidTr="008E26E9">
        <w:tc>
          <w:tcPr>
            <w:tcW w:w="0" w:type="auto"/>
            <w:hideMark/>
          </w:tcPr>
          <w:p w14:paraId="4C35900B" w14:textId="77777777" w:rsidR="007158F2" w:rsidRPr="008A31C2" w:rsidRDefault="007158F2" w:rsidP="008E26E9">
            <w:pPr>
              <w:spacing w:after="160" w:line="278" w:lineRule="auto"/>
            </w:pPr>
            <w:r w:rsidRPr="008A31C2">
              <w:t>RQ3</w:t>
            </w:r>
          </w:p>
        </w:tc>
        <w:tc>
          <w:tcPr>
            <w:tcW w:w="0" w:type="auto"/>
            <w:hideMark/>
          </w:tcPr>
          <w:p w14:paraId="3DE3C45F" w14:textId="77777777" w:rsidR="007158F2" w:rsidRPr="008A31C2" w:rsidRDefault="007158F2" w:rsidP="008E26E9">
            <w:pPr>
              <w:spacing w:after="160" w:line="278" w:lineRule="auto"/>
            </w:pPr>
            <w:r w:rsidRPr="008A31C2">
              <w:t>Structural reform enabling implementation</w:t>
            </w:r>
          </w:p>
        </w:tc>
        <w:tc>
          <w:tcPr>
            <w:tcW w:w="0" w:type="auto"/>
            <w:hideMark/>
          </w:tcPr>
          <w:p w14:paraId="65F14A33" w14:textId="77777777" w:rsidR="007158F2" w:rsidRPr="008A31C2" w:rsidRDefault="007158F2" w:rsidP="008E26E9">
            <w:pPr>
              <w:spacing w:after="160" w:line="278" w:lineRule="auto"/>
            </w:pPr>
            <w:r w:rsidRPr="008A31C2">
              <w:t>Senior EDI leadership appointment</w:t>
            </w:r>
          </w:p>
        </w:tc>
        <w:tc>
          <w:tcPr>
            <w:tcW w:w="0" w:type="auto"/>
            <w:hideMark/>
          </w:tcPr>
          <w:p w14:paraId="74B8709F" w14:textId="77777777" w:rsidR="007158F2" w:rsidRPr="008A31C2" w:rsidRDefault="007158F2" w:rsidP="008E26E9">
            <w:pPr>
              <w:spacing w:after="160" w:line="278" w:lineRule="auto"/>
            </w:pPr>
            <w:r w:rsidRPr="008A31C2">
              <w:t>3.3</w:t>
            </w:r>
          </w:p>
        </w:tc>
        <w:tc>
          <w:tcPr>
            <w:tcW w:w="0" w:type="auto"/>
            <w:hideMark/>
          </w:tcPr>
          <w:p w14:paraId="62C58BC1" w14:textId="77777777" w:rsidR="007158F2" w:rsidRPr="008A31C2" w:rsidRDefault="007158F2" w:rsidP="008E26E9">
            <w:pPr>
              <w:spacing w:after="160" w:line="278" w:lineRule="auto"/>
            </w:pPr>
            <w:r w:rsidRPr="008A31C2">
              <w:t xml:space="preserve">“Appointed a new Executive Director of EDI and reshaped the People Directorate to focus on Talent Development, Acquisition, and Reward – laying the foundation for long-term, systemic change.” </w:t>
            </w:r>
            <w:r w:rsidRPr="008A31C2">
              <w:rPr>
                <w:i/>
                <w:iCs/>
              </w:rPr>
              <w:t xml:space="preserve">(University of Manchester, 2024a, p. </w:t>
            </w:r>
            <w:r>
              <w:rPr>
                <w:i/>
                <w:iCs/>
              </w:rPr>
              <w:t>2</w:t>
            </w:r>
            <w:r w:rsidRPr="008A31C2">
              <w:rPr>
                <w:i/>
                <w:iCs/>
              </w:rPr>
              <w:t>).</w:t>
            </w:r>
          </w:p>
        </w:tc>
      </w:tr>
      <w:tr w:rsidR="007158F2" w:rsidRPr="008A31C2" w14:paraId="6BD039D3" w14:textId="77777777" w:rsidTr="008E26E9">
        <w:tc>
          <w:tcPr>
            <w:tcW w:w="0" w:type="auto"/>
            <w:hideMark/>
          </w:tcPr>
          <w:p w14:paraId="4A3D694F" w14:textId="77777777" w:rsidR="007158F2" w:rsidRPr="008A31C2" w:rsidRDefault="007158F2" w:rsidP="008E26E9">
            <w:pPr>
              <w:spacing w:after="160" w:line="278" w:lineRule="auto"/>
            </w:pPr>
            <w:r w:rsidRPr="008A31C2">
              <w:lastRenderedPageBreak/>
              <w:t>RQ3</w:t>
            </w:r>
          </w:p>
        </w:tc>
        <w:tc>
          <w:tcPr>
            <w:tcW w:w="0" w:type="auto"/>
            <w:hideMark/>
          </w:tcPr>
          <w:p w14:paraId="30FDC667" w14:textId="77777777" w:rsidR="007158F2" w:rsidRPr="008A31C2" w:rsidRDefault="007158F2" w:rsidP="008E26E9">
            <w:pPr>
              <w:spacing w:after="160" w:line="278" w:lineRule="auto"/>
            </w:pPr>
            <w:r w:rsidRPr="008A31C2">
              <w:t>Structural reform enabling implementation</w:t>
            </w:r>
          </w:p>
        </w:tc>
        <w:tc>
          <w:tcPr>
            <w:tcW w:w="0" w:type="auto"/>
            <w:hideMark/>
          </w:tcPr>
          <w:p w14:paraId="12B13AEE" w14:textId="77777777" w:rsidR="007158F2" w:rsidRPr="008A31C2" w:rsidRDefault="007158F2" w:rsidP="008E26E9">
            <w:pPr>
              <w:spacing w:after="160" w:line="278" w:lineRule="auto"/>
            </w:pPr>
            <w:r w:rsidRPr="008A31C2">
              <w:t>Embedding EDI into institutional planning/accountability</w:t>
            </w:r>
          </w:p>
        </w:tc>
        <w:tc>
          <w:tcPr>
            <w:tcW w:w="0" w:type="auto"/>
            <w:hideMark/>
          </w:tcPr>
          <w:p w14:paraId="342E8A50" w14:textId="77777777" w:rsidR="007158F2" w:rsidRPr="008A31C2" w:rsidRDefault="007158F2" w:rsidP="008E26E9">
            <w:pPr>
              <w:spacing w:after="160" w:line="278" w:lineRule="auto"/>
            </w:pPr>
            <w:r w:rsidRPr="008A31C2">
              <w:t>3.3</w:t>
            </w:r>
          </w:p>
        </w:tc>
        <w:tc>
          <w:tcPr>
            <w:tcW w:w="0" w:type="auto"/>
            <w:hideMark/>
          </w:tcPr>
          <w:p w14:paraId="787CEE55" w14:textId="77777777" w:rsidR="007158F2" w:rsidRPr="008A31C2" w:rsidRDefault="007158F2" w:rsidP="008E26E9">
            <w:pPr>
              <w:spacing w:after="160" w:line="278" w:lineRule="auto"/>
            </w:pPr>
            <w:r w:rsidRPr="008A31C2">
              <w:t xml:space="preserve">“Started the development of a new EDI strategy aligned with the University’s Manchester 2035 vision, ensuring EDI is embedded in institutional planning and accountability.” </w:t>
            </w:r>
            <w:r w:rsidRPr="008A31C2">
              <w:rPr>
                <w:i/>
                <w:iCs/>
              </w:rPr>
              <w:t>(University of Manchester, 2024a, p. 2).</w:t>
            </w:r>
          </w:p>
        </w:tc>
      </w:tr>
      <w:tr w:rsidR="007158F2" w:rsidRPr="008A31C2" w14:paraId="36E4BD79" w14:textId="77777777" w:rsidTr="008E26E9">
        <w:tc>
          <w:tcPr>
            <w:tcW w:w="0" w:type="auto"/>
            <w:hideMark/>
          </w:tcPr>
          <w:p w14:paraId="2E4732BD" w14:textId="77777777" w:rsidR="007158F2" w:rsidRPr="008A31C2" w:rsidRDefault="007158F2" w:rsidP="008E26E9">
            <w:pPr>
              <w:spacing w:after="160" w:line="278" w:lineRule="auto"/>
            </w:pPr>
            <w:r w:rsidRPr="008A31C2">
              <w:t>RQ3</w:t>
            </w:r>
          </w:p>
        </w:tc>
        <w:tc>
          <w:tcPr>
            <w:tcW w:w="0" w:type="auto"/>
            <w:hideMark/>
          </w:tcPr>
          <w:p w14:paraId="7C724377" w14:textId="77777777" w:rsidR="007158F2" w:rsidRPr="008A31C2" w:rsidRDefault="007158F2" w:rsidP="008E26E9">
            <w:pPr>
              <w:spacing w:after="160" w:line="278" w:lineRule="auto"/>
            </w:pPr>
            <w:r w:rsidRPr="008A31C2">
              <w:t>Monitoring systems for pay-gap governance</w:t>
            </w:r>
          </w:p>
        </w:tc>
        <w:tc>
          <w:tcPr>
            <w:tcW w:w="0" w:type="auto"/>
            <w:hideMark/>
          </w:tcPr>
          <w:p w14:paraId="46931F05" w14:textId="77777777" w:rsidR="007158F2" w:rsidRPr="008A31C2" w:rsidRDefault="007158F2" w:rsidP="008E26E9">
            <w:pPr>
              <w:spacing w:after="160" w:line="278" w:lineRule="auto"/>
            </w:pPr>
            <w:r w:rsidRPr="008A31C2">
              <w:t>Real-time dashboards for recruitment/promotion/turnover monitoring</w:t>
            </w:r>
          </w:p>
        </w:tc>
        <w:tc>
          <w:tcPr>
            <w:tcW w:w="0" w:type="auto"/>
            <w:hideMark/>
          </w:tcPr>
          <w:p w14:paraId="1519E726" w14:textId="77777777" w:rsidR="007158F2" w:rsidRPr="008A31C2" w:rsidRDefault="007158F2" w:rsidP="008E26E9">
            <w:pPr>
              <w:spacing w:after="160" w:line="278" w:lineRule="auto"/>
            </w:pPr>
            <w:r w:rsidRPr="008A31C2">
              <w:t>3.3</w:t>
            </w:r>
          </w:p>
        </w:tc>
        <w:tc>
          <w:tcPr>
            <w:tcW w:w="0" w:type="auto"/>
            <w:hideMark/>
          </w:tcPr>
          <w:p w14:paraId="1DC5589A" w14:textId="77777777" w:rsidR="007158F2" w:rsidRPr="008A31C2" w:rsidRDefault="007158F2" w:rsidP="008E26E9">
            <w:pPr>
              <w:spacing w:after="160" w:line="278" w:lineRule="auto"/>
            </w:pPr>
            <w:r w:rsidRPr="008A31C2">
              <w:t xml:space="preserve">“Introduced real-time EDI dashboards to monitor recruitment, promotion, and turnover, and reviewed promotions criteria to improve transparency and inclusivity.” </w:t>
            </w:r>
            <w:r w:rsidRPr="008A31C2">
              <w:rPr>
                <w:i/>
                <w:iCs/>
              </w:rPr>
              <w:t>(University of Manchester, 2024a, p. 2).</w:t>
            </w:r>
          </w:p>
        </w:tc>
      </w:tr>
      <w:tr w:rsidR="007158F2" w:rsidRPr="008A31C2" w14:paraId="0DB8EF89" w14:textId="77777777" w:rsidTr="008E26E9">
        <w:tc>
          <w:tcPr>
            <w:tcW w:w="0" w:type="auto"/>
            <w:hideMark/>
          </w:tcPr>
          <w:p w14:paraId="0045A746" w14:textId="77777777" w:rsidR="007158F2" w:rsidRPr="008A31C2" w:rsidRDefault="007158F2" w:rsidP="008E26E9">
            <w:pPr>
              <w:spacing w:after="160" w:line="278" w:lineRule="auto"/>
            </w:pPr>
            <w:r w:rsidRPr="008A31C2">
              <w:t>RQ3</w:t>
            </w:r>
          </w:p>
        </w:tc>
        <w:tc>
          <w:tcPr>
            <w:tcW w:w="0" w:type="auto"/>
            <w:hideMark/>
          </w:tcPr>
          <w:p w14:paraId="0B2ED384" w14:textId="77777777" w:rsidR="007158F2" w:rsidRPr="008A31C2" w:rsidRDefault="007158F2" w:rsidP="008E26E9">
            <w:pPr>
              <w:spacing w:after="160" w:line="278" w:lineRule="auto"/>
            </w:pPr>
            <w:r w:rsidRPr="008A31C2">
              <w:t>Pay gap monitoring oversight</w:t>
            </w:r>
          </w:p>
        </w:tc>
        <w:tc>
          <w:tcPr>
            <w:tcW w:w="0" w:type="auto"/>
            <w:hideMark/>
          </w:tcPr>
          <w:p w14:paraId="1E753371" w14:textId="77777777" w:rsidR="007158F2" w:rsidRPr="008A31C2" w:rsidRDefault="007158F2" w:rsidP="008E26E9">
            <w:pPr>
              <w:spacing w:after="160" w:line="278" w:lineRule="auto"/>
            </w:pPr>
            <w:r w:rsidRPr="008A31C2">
              <w:t>Formal planning + accountability cycle + committees</w:t>
            </w:r>
          </w:p>
        </w:tc>
        <w:tc>
          <w:tcPr>
            <w:tcW w:w="0" w:type="auto"/>
            <w:hideMark/>
          </w:tcPr>
          <w:p w14:paraId="114338A8" w14:textId="77777777" w:rsidR="007158F2" w:rsidRPr="008A31C2" w:rsidRDefault="007158F2" w:rsidP="008E26E9">
            <w:pPr>
              <w:spacing w:after="160" w:line="278" w:lineRule="auto"/>
            </w:pPr>
            <w:r w:rsidRPr="008A31C2">
              <w:t>3.3</w:t>
            </w:r>
          </w:p>
        </w:tc>
        <w:tc>
          <w:tcPr>
            <w:tcW w:w="0" w:type="auto"/>
            <w:hideMark/>
          </w:tcPr>
          <w:p w14:paraId="5AE13B9D" w14:textId="77777777" w:rsidR="007158F2" w:rsidRPr="008A31C2" w:rsidRDefault="007158F2" w:rsidP="008E26E9">
            <w:pPr>
              <w:spacing w:after="160" w:line="278" w:lineRule="auto"/>
            </w:pPr>
            <w:r w:rsidRPr="008A31C2">
              <w:t xml:space="preserve">“Progress on closing pay gaps continues to be closely monitored through the University’s formal planning and accountability </w:t>
            </w:r>
            <w:r w:rsidRPr="008A31C2">
              <w:lastRenderedPageBreak/>
              <w:t xml:space="preserve">cycle. Oversight is provided by the Equality, Diversity and Inclusion Committee, the People Committee, and the Annual Performance Review (APR) process.” </w:t>
            </w:r>
            <w:r w:rsidRPr="008A31C2">
              <w:rPr>
                <w:i/>
                <w:iCs/>
              </w:rPr>
              <w:t>(University of Manchester, 2024a, p. 16).</w:t>
            </w:r>
          </w:p>
        </w:tc>
      </w:tr>
    </w:tbl>
    <w:p w14:paraId="0ACA0F5F" w14:textId="77777777" w:rsidR="007158F2" w:rsidRDefault="007158F2" w:rsidP="007158F2">
      <w:pPr>
        <w:rPr>
          <w:lang w:val="en-US"/>
        </w:rPr>
      </w:pPr>
    </w:p>
    <w:p w14:paraId="789B68AD" w14:textId="77777777" w:rsidR="007158F2" w:rsidRDefault="007158F2" w:rsidP="007158F2">
      <w:pPr>
        <w:rPr>
          <w:b/>
          <w:bCs/>
          <w:sz w:val="24"/>
          <w:szCs w:val="24"/>
        </w:rPr>
      </w:pPr>
    </w:p>
    <w:p w14:paraId="04BC769F" w14:textId="1F96D5F9" w:rsidR="007158F2" w:rsidRPr="00985C38" w:rsidRDefault="007158F2" w:rsidP="007158F2">
      <w:pPr>
        <w:rPr>
          <w:b/>
          <w:bCs/>
          <w:sz w:val="24"/>
          <w:szCs w:val="24"/>
        </w:rPr>
      </w:pPr>
      <w:r w:rsidRPr="00985C38">
        <w:rPr>
          <w:b/>
          <w:bCs/>
          <w:sz w:val="24"/>
          <w:szCs w:val="24"/>
        </w:rPr>
        <w:t>Table A4.3: Overview of Qualitative Data Analysis Underpinning RQ3 – Manchester Metropolitan University (2020–2025)</w:t>
      </w:r>
    </w:p>
    <w:tbl>
      <w:tblPr>
        <w:tblStyle w:val="TableGrid"/>
        <w:tblW w:w="0" w:type="auto"/>
        <w:tblLook w:val="04A0" w:firstRow="1" w:lastRow="0" w:firstColumn="1" w:lastColumn="0" w:noHBand="0" w:noVBand="1"/>
      </w:tblPr>
      <w:tblGrid>
        <w:gridCol w:w="2245"/>
        <w:gridCol w:w="1645"/>
        <w:gridCol w:w="1656"/>
        <w:gridCol w:w="1178"/>
        <w:gridCol w:w="2292"/>
      </w:tblGrid>
      <w:tr w:rsidR="007158F2" w:rsidRPr="00FA51A5" w14:paraId="3356CB4B" w14:textId="77777777" w:rsidTr="008E26E9">
        <w:tc>
          <w:tcPr>
            <w:tcW w:w="0" w:type="auto"/>
            <w:shd w:val="clear" w:color="auto" w:fill="4C94D8" w:themeFill="text2" w:themeFillTint="80"/>
            <w:hideMark/>
          </w:tcPr>
          <w:p w14:paraId="4D1F73B3" w14:textId="77777777" w:rsidR="007158F2" w:rsidRPr="00FA51A5" w:rsidRDefault="007158F2" w:rsidP="008E26E9">
            <w:pPr>
              <w:spacing w:after="160" w:line="278" w:lineRule="auto"/>
              <w:rPr>
                <w:b/>
                <w:bCs/>
              </w:rPr>
            </w:pPr>
            <w:r w:rsidRPr="00FA51A5">
              <w:rPr>
                <w:b/>
                <w:bCs/>
              </w:rPr>
              <w:t>Research Question</w:t>
            </w:r>
          </w:p>
        </w:tc>
        <w:tc>
          <w:tcPr>
            <w:tcW w:w="0" w:type="auto"/>
            <w:shd w:val="clear" w:color="auto" w:fill="4C94D8" w:themeFill="text2" w:themeFillTint="80"/>
            <w:hideMark/>
          </w:tcPr>
          <w:p w14:paraId="4AA66DDF" w14:textId="77777777" w:rsidR="007158F2" w:rsidRPr="00FA51A5" w:rsidRDefault="007158F2" w:rsidP="008E26E9">
            <w:pPr>
              <w:spacing w:after="160" w:line="278" w:lineRule="auto"/>
              <w:rPr>
                <w:b/>
                <w:bCs/>
              </w:rPr>
            </w:pPr>
            <w:r w:rsidRPr="00FA51A5">
              <w:rPr>
                <w:b/>
                <w:bCs/>
              </w:rPr>
              <w:t>Main Theme</w:t>
            </w:r>
          </w:p>
        </w:tc>
        <w:tc>
          <w:tcPr>
            <w:tcW w:w="0" w:type="auto"/>
            <w:shd w:val="clear" w:color="auto" w:fill="4C94D8" w:themeFill="text2" w:themeFillTint="80"/>
            <w:hideMark/>
          </w:tcPr>
          <w:p w14:paraId="6DD1E7AA" w14:textId="77777777" w:rsidR="007158F2" w:rsidRPr="00FA51A5" w:rsidRDefault="007158F2" w:rsidP="008E26E9">
            <w:pPr>
              <w:spacing w:after="160" w:line="278" w:lineRule="auto"/>
              <w:rPr>
                <w:b/>
                <w:bCs/>
              </w:rPr>
            </w:pPr>
            <w:r w:rsidRPr="00FA51A5">
              <w:rPr>
                <w:b/>
                <w:bCs/>
              </w:rPr>
              <w:t>Sub-theme / Code</w:t>
            </w:r>
          </w:p>
        </w:tc>
        <w:tc>
          <w:tcPr>
            <w:tcW w:w="0" w:type="auto"/>
            <w:shd w:val="clear" w:color="auto" w:fill="4C94D8" w:themeFill="text2" w:themeFillTint="80"/>
            <w:hideMark/>
          </w:tcPr>
          <w:p w14:paraId="28B154ED" w14:textId="77777777" w:rsidR="007158F2" w:rsidRPr="00FA51A5" w:rsidRDefault="007158F2" w:rsidP="008E26E9">
            <w:pPr>
              <w:spacing w:after="160" w:line="278" w:lineRule="auto"/>
              <w:rPr>
                <w:b/>
                <w:bCs/>
              </w:rPr>
            </w:pPr>
            <w:r w:rsidRPr="00FA51A5">
              <w:rPr>
                <w:b/>
                <w:bCs/>
              </w:rPr>
              <w:t>Findings Section Ref</w:t>
            </w:r>
          </w:p>
        </w:tc>
        <w:tc>
          <w:tcPr>
            <w:tcW w:w="0" w:type="auto"/>
            <w:shd w:val="clear" w:color="auto" w:fill="4C94D8" w:themeFill="text2" w:themeFillTint="80"/>
            <w:hideMark/>
          </w:tcPr>
          <w:p w14:paraId="3613DECA" w14:textId="77777777" w:rsidR="007158F2" w:rsidRPr="00FA51A5" w:rsidRDefault="007158F2" w:rsidP="008E26E9">
            <w:pPr>
              <w:spacing w:after="160" w:line="278" w:lineRule="auto"/>
              <w:rPr>
                <w:b/>
                <w:bCs/>
              </w:rPr>
            </w:pPr>
            <w:r w:rsidRPr="008C70AB">
              <w:rPr>
                <w:b/>
                <w:bCs/>
              </w:rPr>
              <w:t xml:space="preserve">Illustrative Extract </w:t>
            </w:r>
          </w:p>
        </w:tc>
      </w:tr>
      <w:tr w:rsidR="007158F2" w:rsidRPr="00FA51A5" w14:paraId="03B86754" w14:textId="77777777" w:rsidTr="008E26E9">
        <w:tc>
          <w:tcPr>
            <w:tcW w:w="0" w:type="auto"/>
            <w:hideMark/>
          </w:tcPr>
          <w:p w14:paraId="23C1C2E8" w14:textId="77777777" w:rsidR="007158F2" w:rsidRPr="00FA51A5" w:rsidRDefault="007158F2" w:rsidP="008E26E9">
            <w:pPr>
              <w:spacing w:after="160" w:line="278" w:lineRule="auto"/>
            </w:pPr>
            <w:r w:rsidRPr="00FA51A5">
              <w:rPr>
                <w:b/>
                <w:bCs/>
              </w:rPr>
              <w:t>RQ3: What organisational and structural conditions shaped the implementation of EDI strategies and gender pay monitoring?</w:t>
            </w:r>
          </w:p>
        </w:tc>
        <w:tc>
          <w:tcPr>
            <w:tcW w:w="0" w:type="auto"/>
            <w:hideMark/>
          </w:tcPr>
          <w:p w14:paraId="5B5EFCC5" w14:textId="77777777" w:rsidR="007158F2" w:rsidRPr="00FA51A5" w:rsidRDefault="007158F2" w:rsidP="008E26E9">
            <w:pPr>
              <w:spacing w:after="160" w:line="278" w:lineRule="auto"/>
            </w:pPr>
            <w:r w:rsidRPr="00FA51A5">
              <w:t>Governance and accountability structures</w:t>
            </w:r>
          </w:p>
        </w:tc>
        <w:tc>
          <w:tcPr>
            <w:tcW w:w="0" w:type="auto"/>
            <w:hideMark/>
          </w:tcPr>
          <w:p w14:paraId="6613FE23" w14:textId="77777777" w:rsidR="007158F2" w:rsidRPr="00FA51A5" w:rsidRDefault="007158F2" w:rsidP="008E26E9">
            <w:pPr>
              <w:spacing w:after="160" w:line="278" w:lineRule="auto"/>
            </w:pPr>
            <w:r w:rsidRPr="00FA51A5">
              <w:t>EDI Strategy Board oversight</w:t>
            </w:r>
          </w:p>
        </w:tc>
        <w:tc>
          <w:tcPr>
            <w:tcW w:w="0" w:type="auto"/>
            <w:hideMark/>
          </w:tcPr>
          <w:p w14:paraId="28096620" w14:textId="77777777" w:rsidR="007158F2" w:rsidRPr="00FA51A5" w:rsidRDefault="007158F2" w:rsidP="008E26E9">
            <w:pPr>
              <w:spacing w:after="160" w:line="278" w:lineRule="auto"/>
            </w:pPr>
            <w:r w:rsidRPr="00FA51A5">
              <w:t>3.3</w:t>
            </w:r>
          </w:p>
        </w:tc>
        <w:tc>
          <w:tcPr>
            <w:tcW w:w="0" w:type="auto"/>
            <w:hideMark/>
          </w:tcPr>
          <w:p w14:paraId="0B9F9233" w14:textId="77777777" w:rsidR="007158F2" w:rsidRPr="00FA51A5" w:rsidRDefault="007158F2" w:rsidP="008E26E9">
            <w:pPr>
              <w:spacing w:after="160" w:line="278" w:lineRule="auto"/>
            </w:pPr>
            <w:r w:rsidRPr="00FA51A5">
              <w:t xml:space="preserve">“Following the pilot, the EDI Strategy Board approved the roll-out of the programme across faculties.” (Manchester Metropolitan University, 2025a, p. </w:t>
            </w:r>
            <w:r>
              <w:t>7</w:t>
            </w:r>
            <w:r w:rsidRPr="00FA51A5">
              <w:t>).</w:t>
            </w:r>
          </w:p>
        </w:tc>
      </w:tr>
      <w:tr w:rsidR="007158F2" w:rsidRPr="00FA51A5" w14:paraId="31BBB550" w14:textId="77777777" w:rsidTr="008E26E9">
        <w:tc>
          <w:tcPr>
            <w:tcW w:w="0" w:type="auto"/>
            <w:hideMark/>
          </w:tcPr>
          <w:p w14:paraId="5460A8DA" w14:textId="77777777" w:rsidR="007158F2" w:rsidRPr="00FA51A5" w:rsidRDefault="007158F2" w:rsidP="008E26E9">
            <w:pPr>
              <w:spacing w:after="160" w:line="278" w:lineRule="auto"/>
            </w:pPr>
            <w:r w:rsidRPr="00FA51A5">
              <w:t>RQ3</w:t>
            </w:r>
          </w:p>
        </w:tc>
        <w:tc>
          <w:tcPr>
            <w:tcW w:w="0" w:type="auto"/>
            <w:hideMark/>
          </w:tcPr>
          <w:p w14:paraId="1B3A9AE6" w14:textId="77777777" w:rsidR="007158F2" w:rsidRPr="00FA51A5" w:rsidRDefault="007158F2" w:rsidP="008E26E9">
            <w:pPr>
              <w:spacing w:after="160" w:line="278" w:lineRule="auto"/>
            </w:pPr>
            <w:r w:rsidRPr="00FA51A5">
              <w:t>Governance and accountability structures</w:t>
            </w:r>
          </w:p>
        </w:tc>
        <w:tc>
          <w:tcPr>
            <w:tcW w:w="0" w:type="auto"/>
            <w:hideMark/>
          </w:tcPr>
          <w:p w14:paraId="32552C04" w14:textId="77777777" w:rsidR="007158F2" w:rsidRPr="00FA51A5" w:rsidRDefault="007158F2" w:rsidP="008E26E9">
            <w:pPr>
              <w:spacing w:after="160" w:line="278" w:lineRule="auto"/>
            </w:pPr>
            <w:r w:rsidRPr="00FA51A5">
              <w:t>Equality Act / PSED reporting alignment</w:t>
            </w:r>
          </w:p>
        </w:tc>
        <w:tc>
          <w:tcPr>
            <w:tcW w:w="0" w:type="auto"/>
            <w:hideMark/>
          </w:tcPr>
          <w:p w14:paraId="088673B7" w14:textId="77777777" w:rsidR="007158F2" w:rsidRPr="00FA51A5" w:rsidRDefault="007158F2" w:rsidP="008E26E9">
            <w:pPr>
              <w:spacing w:after="160" w:line="278" w:lineRule="auto"/>
            </w:pPr>
            <w:r w:rsidRPr="00FA51A5">
              <w:t>3.3</w:t>
            </w:r>
          </w:p>
        </w:tc>
        <w:tc>
          <w:tcPr>
            <w:tcW w:w="0" w:type="auto"/>
            <w:hideMark/>
          </w:tcPr>
          <w:p w14:paraId="2911FA4A" w14:textId="77777777" w:rsidR="007158F2" w:rsidRPr="00FA51A5" w:rsidRDefault="007158F2" w:rsidP="008E26E9">
            <w:pPr>
              <w:spacing w:after="160" w:line="278" w:lineRule="auto"/>
            </w:pPr>
            <w:r w:rsidRPr="00222DA3">
              <w:t xml:space="preserve">“It was developed by the reporting requirements of the Equality Act (2010) and associated Public Sector Equality Duty.” </w:t>
            </w:r>
            <w:r w:rsidRPr="00222DA3">
              <w:lastRenderedPageBreak/>
              <w:t xml:space="preserve">(Manchester Metropolitan University, 2025a, p. </w:t>
            </w:r>
            <w:r>
              <w:t>4</w:t>
            </w:r>
            <w:r w:rsidRPr="00222DA3">
              <w:t>).</w:t>
            </w:r>
          </w:p>
        </w:tc>
      </w:tr>
      <w:tr w:rsidR="007158F2" w:rsidRPr="00FA51A5" w14:paraId="1BFA00AB" w14:textId="77777777" w:rsidTr="008E26E9">
        <w:tc>
          <w:tcPr>
            <w:tcW w:w="0" w:type="auto"/>
            <w:hideMark/>
          </w:tcPr>
          <w:p w14:paraId="09277C08" w14:textId="77777777" w:rsidR="007158F2" w:rsidRPr="00FA51A5" w:rsidRDefault="007158F2" w:rsidP="008E26E9">
            <w:pPr>
              <w:spacing w:after="160" w:line="278" w:lineRule="auto"/>
            </w:pPr>
            <w:r w:rsidRPr="00FA51A5">
              <w:lastRenderedPageBreak/>
              <w:t>RQ3</w:t>
            </w:r>
          </w:p>
        </w:tc>
        <w:tc>
          <w:tcPr>
            <w:tcW w:w="0" w:type="auto"/>
            <w:hideMark/>
          </w:tcPr>
          <w:p w14:paraId="4ACDFAB3" w14:textId="77777777" w:rsidR="007158F2" w:rsidRPr="00FA51A5" w:rsidRDefault="007158F2" w:rsidP="008E26E9">
            <w:pPr>
              <w:spacing w:after="160" w:line="278" w:lineRule="auto"/>
            </w:pPr>
            <w:r w:rsidRPr="00FA51A5">
              <w:t>Data infrastructure enabling monitoring</w:t>
            </w:r>
          </w:p>
        </w:tc>
        <w:tc>
          <w:tcPr>
            <w:tcW w:w="0" w:type="auto"/>
            <w:hideMark/>
          </w:tcPr>
          <w:p w14:paraId="5B177CEB" w14:textId="77777777" w:rsidR="007158F2" w:rsidRPr="00FA51A5" w:rsidRDefault="007158F2" w:rsidP="008E26E9">
            <w:pPr>
              <w:spacing w:after="160" w:line="278" w:lineRule="auto"/>
            </w:pPr>
            <w:r w:rsidRPr="00FA51A5">
              <w:t>People Equality Data Framework (PEDF)</w:t>
            </w:r>
          </w:p>
        </w:tc>
        <w:tc>
          <w:tcPr>
            <w:tcW w:w="0" w:type="auto"/>
            <w:hideMark/>
          </w:tcPr>
          <w:p w14:paraId="2F201FAF" w14:textId="77777777" w:rsidR="007158F2" w:rsidRPr="00FA51A5" w:rsidRDefault="007158F2" w:rsidP="008E26E9">
            <w:pPr>
              <w:spacing w:after="160" w:line="278" w:lineRule="auto"/>
            </w:pPr>
            <w:r w:rsidRPr="00FA51A5">
              <w:t>3.3</w:t>
            </w:r>
          </w:p>
        </w:tc>
        <w:tc>
          <w:tcPr>
            <w:tcW w:w="0" w:type="auto"/>
            <w:hideMark/>
          </w:tcPr>
          <w:p w14:paraId="7E6C4E05" w14:textId="77777777" w:rsidR="007158F2" w:rsidRPr="00FA51A5" w:rsidRDefault="007158F2" w:rsidP="008E26E9">
            <w:pPr>
              <w:spacing w:after="160" w:line="278" w:lineRule="auto"/>
            </w:pPr>
            <w:r w:rsidRPr="00FA51A5">
              <w:t xml:space="preserve">“The People Equality Data Framework is the first of its kind in the HE </w:t>
            </w:r>
            <w:proofErr w:type="gramStart"/>
            <w:r w:rsidRPr="00FA51A5">
              <w:t>sector</w:t>
            </w:r>
            <w:proofErr w:type="gramEnd"/>
            <w:r w:rsidRPr="00FA51A5">
              <w:t>.” (Manchester Metropolitan University, 2025a, p. 7).</w:t>
            </w:r>
          </w:p>
        </w:tc>
      </w:tr>
      <w:tr w:rsidR="007158F2" w:rsidRPr="00FA51A5" w14:paraId="106ED89B" w14:textId="77777777" w:rsidTr="008E26E9">
        <w:tc>
          <w:tcPr>
            <w:tcW w:w="0" w:type="auto"/>
            <w:hideMark/>
          </w:tcPr>
          <w:p w14:paraId="60F8547F" w14:textId="77777777" w:rsidR="007158F2" w:rsidRPr="00FA51A5" w:rsidRDefault="007158F2" w:rsidP="008E26E9">
            <w:pPr>
              <w:spacing w:after="160" w:line="278" w:lineRule="auto"/>
            </w:pPr>
            <w:r w:rsidRPr="00FA51A5">
              <w:t>RQ3</w:t>
            </w:r>
          </w:p>
        </w:tc>
        <w:tc>
          <w:tcPr>
            <w:tcW w:w="0" w:type="auto"/>
            <w:hideMark/>
          </w:tcPr>
          <w:p w14:paraId="31CE64B4" w14:textId="77777777" w:rsidR="007158F2" w:rsidRPr="00FA51A5" w:rsidRDefault="007158F2" w:rsidP="008E26E9">
            <w:pPr>
              <w:spacing w:after="160" w:line="278" w:lineRule="auto"/>
            </w:pPr>
            <w:r w:rsidRPr="00FA51A5">
              <w:t>Data infrastructure enabling monitoring</w:t>
            </w:r>
          </w:p>
        </w:tc>
        <w:tc>
          <w:tcPr>
            <w:tcW w:w="0" w:type="auto"/>
            <w:hideMark/>
          </w:tcPr>
          <w:p w14:paraId="55FA1BB1" w14:textId="77777777" w:rsidR="007158F2" w:rsidRPr="00FA51A5" w:rsidRDefault="007158F2" w:rsidP="008E26E9">
            <w:pPr>
              <w:spacing w:after="160" w:line="278" w:lineRule="auto"/>
            </w:pPr>
            <w:r w:rsidRPr="00A37C66">
              <w:t>Intersectional data functionality</w:t>
            </w:r>
          </w:p>
        </w:tc>
        <w:tc>
          <w:tcPr>
            <w:tcW w:w="0" w:type="auto"/>
            <w:hideMark/>
          </w:tcPr>
          <w:p w14:paraId="77052805" w14:textId="77777777" w:rsidR="007158F2" w:rsidRPr="00FA51A5" w:rsidRDefault="007158F2" w:rsidP="008E26E9">
            <w:pPr>
              <w:spacing w:after="160" w:line="278" w:lineRule="auto"/>
            </w:pPr>
            <w:r w:rsidRPr="00FA51A5">
              <w:t>3.3</w:t>
            </w:r>
          </w:p>
        </w:tc>
        <w:tc>
          <w:tcPr>
            <w:tcW w:w="0" w:type="auto"/>
            <w:hideMark/>
          </w:tcPr>
          <w:p w14:paraId="1BDD360A" w14:textId="77777777" w:rsidR="007158F2" w:rsidRPr="00FA51A5" w:rsidRDefault="007158F2" w:rsidP="008E26E9">
            <w:pPr>
              <w:spacing w:after="160" w:line="278" w:lineRule="auto"/>
            </w:pPr>
            <w:r w:rsidRPr="00A37C66">
              <w:t>“Following feedback, the dashboard has been updated to allow users to obtain intersectional data and now includes UK and international staff and student profiles.” (Manchester Metropolitan University, 2025a, p. 7</w:t>
            </w:r>
          </w:p>
        </w:tc>
      </w:tr>
      <w:tr w:rsidR="007158F2" w:rsidRPr="00FA51A5" w14:paraId="5833436D" w14:textId="77777777" w:rsidTr="008E26E9">
        <w:tc>
          <w:tcPr>
            <w:tcW w:w="0" w:type="auto"/>
            <w:hideMark/>
          </w:tcPr>
          <w:p w14:paraId="077863EA" w14:textId="77777777" w:rsidR="007158F2" w:rsidRPr="00FA51A5" w:rsidRDefault="007158F2" w:rsidP="008E26E9">
            <w:pPr>
              <w:spacing w:after="160" w:line="278" w:lineRule="auto"/>
            </w:pPr>
            <w:r w:rsidRPr="00FA51A5">
              <w:t>RQ3</w:t>
            </w:r>
          </w:p>
        </w:tc>
        <w:tc>
          <w:tcPr>
            <w:tcW w:w="0" w:type="auto"/>
            <w:hideMark/>
          </w:tcPr>
          <w:p w14:paraId="309DC4ED" w14:textId="77777777" w:rsidR="007158F2" w:rsidRPr="00FA51A5" w:rsidRDefault="007158F2" w:rsidP="008E26E9">
            <w:pPr>
              <w:spacing w:after="160" w:line="278" w:lineRule="auto"/>
            </w:pPr>
            <w:r w:rsidRPr="00FA51A5">
              <w:t>External frameworks shaping governance</w:t>
            </w:r>
          </w:p>
        </w:tc>
        <w:tc>
          <w:tcPr>
            <w:tcW w:w="0" w:type="auto"/>
            <w:hideMark/>
          </w:tcPr>
          <w:p w14:paraId="2F98856D" w14:textId="77777777" w:rsidR="007158F2" w:rsidRPr="00FA51A5" w:rsidRDefault="007158F2" w:rsidP="008E26E9">
            <w:pPr>
              <w:spacing w:after="160" w:line="278" w:lineRule="auto"/>
            </w:pPr>
            <w:r w:rsidRPr="00A37C66">
              <w:t>Athena Swan action plan monitoring</w:t>
            </w:r>
          </w:p>
        </w:tc>
        <w:tc>
          <w:tcPr>
            <w:tcW w:w="0" w:type="auto"/>
            <w:hideMark/>
          </w:tcPr>
          <w:p w14:paraId="09436B76" w14:textId="77777777" w:rsidR="007158F2" w:rsidRPr="00FA51A5" w:rsidRDefault="007158F2" w:rsidP="008E26E9">
            <w:pPr>
              <w:spacing w:after="160" w:line="278" w:lineRule="auto"/>
            </w:pPr>
            <w:r w:rsidRPr="00FA51A5">
              <w:t>3.3</w:t>
            </w:r>
          </w:p>
        </w:tc>
        <w:tc>
          <w:tcPr>
            <w:tcW w:w="0" w:type="auto"/>
            <w:hideMark/>
          </w:tcPr>
          <w:p w14:paraId="7A7E3E91" w14:textId="77777777" w:rsidR="007158F2" w:rsidRPr="00FA51A5" w:rsidRDefault="007158F2" w:rsidP="008E26E9">
            <w:pPr>
              <w:spacing w:after="160" w:line="278" w:lineRule="auto"/>
            </w:pPr>
            <w:r w:rsidRPr="00A37C66">
              <w:t>“</w:t>
            </w:r>
            <w:proofErr w:type="gramStart"/>
            <w:r w:rsidRPr="00A37C66">
              <w:t>the</w:t>
            </w:r>
            <w:proofErr w:type="gramEnd"/>
            <w:r w:rsidRPr="00A37C66">
              <w:t xml:space="preserve"> action plan will be updated in April 2025. This will use the latest data to monitor progress against success measures and to update priorities” (Manchester Metropolitan University, 2025a, p. </w:t>
            </w:r>
            <w:r>
              <w:t>10</w:t>
            </w:r>
            <w:r w:rsidRPr="00A37C66">
              <w:t>)</w:t>
            </w:r>
          </w:p>
        </w:tc>
      </w:tr>
      <w:tr w:rsidR="007158F2" w:rsidRPr="00FA51A5" w14:paraId="0F9DB61F" w14:textId="77777777" w:rsidTr="008E26E9">
        <w:tc>
          <w:tcPr>
            <w:tcW w:w="0" w:type="auto"/>
            <w:hideMark/>
          </w:tcPr>
          <w:p w14:paraId="41AE8517" w14:textId="77777777" w:rsidR="007158F2" w:rsidRPr="00FA51A5" w:rsidRDefault="007158F2" w:rsidP="008E26E9">
            <w:pPr>
              <w:spacing w:after="160" w:line="278" w:lineRule="auto"/>
            </w:pPr>
            <w:r w:rsidRPr="00FA51A5">
              <w:t>RQ3</w:t>
            </w:r>
          </w:p>
        </w:tc>
        <w:tc>
          <w:tcPr>
            <w:tcW w:w="0" w:type="auto"/>
            <w:hideMark/>
          </w:tcPr>
          <w:p w14:paraId="5F348AB0" w14:textId="77777777" w:rsidR="007158F2" w:rsidRPr="00FA51A5" w:rsidRDefault="007158F2" w:rsidP="008E26E9">
            <w:pPr>
              <w:spacing w:after="160" w:line="278" w:lineRule="auto"/>
            </w:pPr>
            <w:r w:rsidRPr="00FA51A5">
              <w:t>Pay gap monitoring oversight</w:t>
            </w:r>
          </w:p>
        </w:tc>
        <w:tc>
          <w:tcPr>
            <w:tcW w:w="0" w:type="auto"/>
            <w:hideMark/>
          </w:tcPr>
          <w:p w14:paraId="7DB958C7" w14:textId="77777777" w:rsidR="007158F2" w:rsidRPr="00FA51A5" w:rsidRDefault="007158F2" w:rsidP="008E26E9">
            <w:pPr>
              <w:spacing w:after="160" w:line="278" w:lineRule="auto"/>
            </w:pPr>
            <w:r w:rsidRPr="00FA51A5">
              <w:t xml:space="preserve">Statutory gender </w:t>
            </w:r>
            <w:proofErr w:type="gramStart"/>
            <w:r w:rsidRPr="00FA51A5">
              <w:t>pay</w:t>
            </w:r>
            <w:proofErr w:type="gramEnd"/>
            <w:r w:rsidRPr="00FA51A5">
              <w:t xml:space="preserve"> gap publication</w:t>
            </w:r>
          </w:p>
        </w:tc>
        <w:tc>
          <w:tcPr>
            <w:tcW w:w="0" w:type="auto"/>
            <w:hideMark/>
          </w:tcPr>
          <w:p w14:paraId="4A8FB823" w14:textId="77777777" w:rsidR="007158F2" w:rsidRPr="00FA51A5" w:rsidRDefault="007158F2" w:rsidP="008E26E9">
            <w:pPr>
              <w:spacing w:after="160" w:line="278" w:lineRule="auto"/>
            </w:pPr>
            <w:r w:rsidRPr="00FA51A5">
              <w:t>3.3</w:t>
            </w:r>
          </w:p>
        </w:tc>
        <w:tc>
          <w:tcPr>
            <w:tcW w:w="0" w:type="auto"/>
            <w:hideMark/>
          </w:tcPr>
          <w:p w14:paraId="0697FBA6" w14:textId="77777777" w:rsidR="007158F2" w:rsidRPr="00FA51A5" w:rsidRDefault="007158F2" w:rsidP="008E26E9">
            <w:pPr>
              <w:spacing w:after="160" w:line="278" w:lineRule="auto"/>
            </w:pPr>
            <w:r w:rsidRPr="00FA51A5">
              <w:t xml:space="preserve">“Since 2017, employers are required to publish the results of their gender pay analysis.” (Manchester Metropolitan </w:t>
            </w:r>
            <w:r w:rsidRPr="00FA51A5">
              <w:lastRenderedPageBreak/>
              <w:t>University, 2025c, p. 3).</w:t>
            </w:r>
          </w:p>
        </w:tc>
      </w:tr>
      <w:tr w:rsidR="007158F2" w:rsidRPr="00FA51A5" w14:paraId="33DA9AEB" w14:textId="77777777" w:rsidTr="008E26E9">
        <w:tc>
          <w:tcPr>
            <w:tcW w:w="0" w:type="auto"/>
            <w:hideMark/>
          </w:tcPr>
          <w:p w14:paraId="30607A2F" w14:textId="77777777" w:rsidR="007158F2" w:rsidRPr="00FA51A5" w:rsidRDefault="007158F2" w:rsidP="008E26E9">
            <w:pPr>
              <w:spacing w:after="160" w:line="278" w:lineRule="auto"/>
            </w:pPr>
            <w:r w:rsidRPr="00FA51A5">
              <w:lastRenderedPageBreak/>
              <w:t>RQ3</w:t>
            </w:r>
          </w:p>
        </w:tc>
        <w:tc>
          <w:tcPr>
            <w:tcW w:w="0" w:type="auto"/>
            <w:hideMark/>
          </w:tcPr>
          <w:p w14:paraId="003C3C63" w14:textId="77777777" w:rsidR="007158F2" w:rsidRPr="00FA51A5" w:rsidRDefault="007158F2" w:rsidP="008E26E9">
            <w:pPr>
              <w:spacing w:after="160" w:line="278" w:lineRule="auto"/>
            </w:pPr>
            <w:r w:rsidRPr="00FA51A5">
              <w:t>Pay gap monitoring oversight</w:t>
            </w:r>
          </w:p>
        </w:tc>
        <w:tc>
          <w:tcPr>
            <w:tcW w:w="0" w:type="auto"/>
            <w:hideMark/>
          </w:tcPr>
          <w:p w14:paraId="21E5573E" w14:textId="77777777" w:rsidR="007158F2" w:rsidRPr="00FA51A5" w:rsidRDefault="007158F2" w:rsidP="008E26E9">
            <w:pPr>
              <w:spacing w:after="160" w:line="278" w:lineRule="auto"/>
            </w:pPr>
            <w:r w:rsidRPr="00FA51A5">
              <w:t xml:space="preserve">Voluntary </w:t>
            </w:r>
            <w:proofErr w:type="gramStart"/>
            <w:r w:rsidRPr="00FA51A5">
              <w:t>ethnicity</w:t>
            </w:r>
            <w:proofErr w:type="gramEnd"/>
            <w:r w:rsidRPr="00FA51A5">
              <w:t xml:space="preserve"> pay gap reporting</w:t>
            </w:r>
          </w:p>
        </w:tc>
        <w:tc>
          <w:tcPr>
            <w:tcW w:w="0" w:type="auto"/>
            <w:hideMark/>
          </w:tcPr>
          <w:p w14:paraId="76509E9E" w14:textId="77777777" w:rsidR="007158F2" w:rsidRPr="00FA51A5" w:rsidRDefault="007158F2" w:rsidP="008E26E9">
            <w:pPr>
              <w:spacing w:after="160" w:line="278" w:lineRule="auto"/>
            </w:pPr>
            <w:r w:rsidRPr="00FA51A5">
              <w:t>3.3</w:t>
            </w:r>
          </w:p>
        </w:tc>
        <w:tc>
          <w:tcPr>
            <w:tcW w:w="0" w:type="auto"/>
            <w:hideMark/>
          </w:tcPr>
          <w:p w14:paraId="0DE20B5D" w14:textId="77777777" w:rsidR="007158F2" w:rsidRPr="00FA51A5" w:rsidRDefault="007158F2" w:rsidP="008E26E9">
            <w:pPr>
              <w:spacing w:after="160" w:line="278" w:lineRule="auto"/>
            </w:pPr>
            <w:r w:rsidRPr="00FA51A5">
              <w:t>“The University has no statutory obligation to report its ethnicity pay gap. We have chosen to include this information…” (Manchester Metropolitan University, 2025c, p. 7).</w:t>
            </w:r>
          </w:p>
        </w:tc>
      </w:tr>
      <w:tr w:rsidR="007158F2" w:rsidRPr="00FA51A5" w14:paraId="72E0C1A6" w14:textId="77777777" w:rsidTr="008E26E9">
        <w:tc>
          <w:tcPr>
            <w:tcW w:w="0" w:type="auto"/>
            <w:hideMark/>
          </w:tcPr>
          <w:p w14:paraId="647602AF" w14:textId="77777777" w:rsidR="007158F2" w:rsidRPr="00FA51A5" w:rsidRDefault="007158F2" w:rsidP="008E26E9">
            <w:pPr>
              <w:spacing w:after="160" w:line="278" w:lineRule="auto"/>
            </w:pPr>
            <w:r w:rsidRPr="00FA51A5">
              <w:t>RQ3</w:t>
            </w:r>
          </w:p>
        </w:tc>
        <w:tc>
          <w:tcPr>
            <w:tcW w:w="0" w:type="auto"/>
            <w:hideMark/>
          </w:tcPr>
          <w:p w14:paraId="1E51E132" w14:textId="77777777" w:rsidR="007158F2" w:rsidRPr="00FA51A5" w:rsidRDefault="007158F2" w:rsidP="008E26E9">
            <w:pPr>
              <w:spacing w:after="160" w:line="278" w:lineRule="auto"/>
            </w:pPr>
            <w:r w:rsidRPr="00FA51A5">
              <w:t>Pay gap monitoring oversight</w:t>
            </w:r>
          </w:p>
        </w:tc>
        <w:tc>
          <w:tcPr>
            <w:tcW w:w="0" w:type="auto"/>
            <w:hideMark/>
          </w:tcPr>
          <w:p w14:paraId="46390B0A" w14:textId="77777777" w:rsidR="007158F2" w:rsidRPr="00FA51A5" w:rsidRDefault="007158F2" w:rsidP="008E26E9">
            <w:pPr>
              <w:spacing w:after="160" w:line="278" w:lineRule="auto"/>
            </w:pPr>
            <w:r w:rsidRPr="00FA51A5">
              <w:t xml:space="preserve">Voluntary disability </w:t>
            </w:r>
            <w:proofErr w:type="gramStart"/>
            <w:r w:rsidRPr="00FA51A5">
              <w:t>pay</w:t>
            </w:r>
            <w:proofErr w:type="gramEnd"/>
            <w:r w:rsidRPr="00FA51A5">
              <w:t xml:space="preserve"> gap reporting</w:t>
            </w:r>
          </w:p>
        </w:tc>
        <w:tc>
          <w:tcPr>
            <w:tcW w:w="0" w:type="auto"/>
            <w:hideMark/>
          </w:tcPr>
          <w:p w14:paraId="15694A3D" w14:textId="77777777" w:rsidR="007158F2" w:rsidRPr="00FA51A5" w:rsidRDefault="007158F2" w:rsidP="008E26E9">
            <w:pPr>
              <w:spacing w:after="160" w:line="278" w:lineRule="auto"/>
            </w:pPr>
            <w:r w:rsidRPr="00FA51A5">
              <w:t>3.3</w:t>
            </w:r>
          </w:p>
        </w:tc>
        <w:tc>
          <w:tcPr>
            <w:tcW w:w="0" w:type="auto"/>
            <w:hideMark/>
          </w:tcPr>
          <w:p w14:paraId="0351C434" w14:textId="77777777" w:rsidR="007158F2" w:rsidRPr="00FA51A5" w:rsidRDefault="007158F2" w:rsidP="008E26E9">
            <w:pPr>
              <w:spacing w:after="160" w:line="278" w:lineRule="auto"/>
            </w:pPr>
            <w:r w:rsidRPr="00FA51A5">
              <w:t>“The University has no statutory obligation to report its disability pay gap. We have chosen to include this information…” (Manchester Metropolitan University, 2025c, p. 9).</w:t>
            </w:r>
          </w:p>
        </w:tc>
      </w:tr>
      <w:tr w:rsidR="007158F2" w:rsidRPr="00FA51A5" w14:paraId="15931097" w14:textId="77777777" w:rsidTr="008E26E9">
        <w:tc>
          <w:tcPr>
            <w:tcW w:w="0" w:type="auto"/>
            <w:hideMark/>
          </w:tcPr>
          <w:p w14:paraId="3371F771" w14:textId="77777777" w:rsidR="007158F2" w:rsidRPr="00FA51A5" w:rsidRDefault="007158F2" w:rsidP="008E26E9">
            <w:pPr>
              <w:spacing w:after="160" w:line="278" w:lineRule="auto"/>
            </w:pPr>
            <w:r w:rsidRPr="00FA51A5">
              <w:t>RQ3</w:t>
            </w:r>
          </w:p>
        </w:tc>
        <w:tc>
          <w:tcPr>
            <w:tcW w:w="0" w:type="auto"/>
            <w:hideMark/>
          </w:tcPr>
          <w:p w14:paraId="362E7774" w14:textId="77777777" w:rsidR="007158F2" w:rsidRPr="00FA51A5" w:rsidRDefault="007158F2" w:rsidP="008E26E9">
            <w:pPr>
              <w:spacing w:after="160" w:line="278" w:lineRule="auto"/>
            </w:pPr>
            <w:r w:rsidRPr="00FA51A5">
              <w:t>Monitoring and transparency mechanisms</w:t>
            </w:r>
          </w:p>
        </w:tc>
        <w:tc>
          <w:tcPr>
            <w:tcW w:w="0" w:type="auto"/>
            <w:hideMark/>
          </w:tcPr>
          <w:p w14:paraId="2FA968F8" w14:textId="77777777" w:rsidR="007158F2" w:rsidRPr="00FA51A5" w:rsidRDefault="007158F2" w:rsidP="008E26E9">
            <w:pPr>
              <w:spacing w:after="160" w:line="278" w:lineRule="auto"/>
            </w:pPr>
            <w:r w:rsidRPr="00FA51A5">
              <w:t>Institutional equality data informing annual reporting</w:t>
            </w:r>
          </w:p>
        </w:tc>
        <w:tc>
          <w:tcPr>
            <w:tcW w:w="0" w:type="auto"/>
            <w:hideMark/>
          </w:tcPr>
          <w:p w14:paraId="112CC50B" w14:textId="77777777" w:rsidR="007158F2" w:rsidRPr="00FA51A5" w:rsidRDefault="007158F2" w:rsidP="008E26E9">
            <w:pPr>
              <w:spacing w:after="160" w:line="278" w:lineRule="auto"/>
            </w:pPr>
            <w:r w:rsidRPr="00FA51A5">
              <w:t>3.3</w:t>
            </w:r>
          </w:p>
        </w:tc>
        <w:tc>
          <w:tcPr>
            <w:tcW w:w="0" w:type="auto"/>
            <w:hideMark/>
          </w:tcPr>
          <w:p w14:paraId="7D8FED64" w14:textId="77777777" w:rsidR="007158F2" w:rsidRPr="00FA51A5" w:rsidRDefault="007158F2" w:rsidP="008E26E9">
            <w:pPr>
              <w:spacing w:after="160" w:line="278" w:lineRule="auto"/>
            </w:pPr>
            <w:r w:rsidRPr="00FA51A5">
              <w:t>“This report presents key staff and student equality information at an institutional level. It informs Part A of our annual Equality, Diversity and Inclusion Report 2023–24.” (Manchester Metropolitan University, 2025b, p. 1).</w:t>
            </w:r>
          </w:p>
        </w:tc>
      </w:tr>
    </w:tbl>
    <w:p w14:paraId="35E36B1D" w14:textId="07B8A5B3" w:rsidR="00457F92" w:rsidRDefault="00457F92"/>
    <w:p w14:paraId="446CEE0F" w14:textId="77777777" w:rsidR="007158F2" w:rsidRDefault="007158F2">
      <w:pPr>
        <w:rPr>
          <w:b/>
          <w:bCs/>
        </w:rPr>
      </w:pPr>
    </w:p>
    <w:p w14:paraId="4D5219D2" w14:textId="77777777" w:rsidR="007158F2" w:rsidRDefault="007158F2">
      <w:pPr>
        <w:rPr>
          <w:b/>
          <w:bCs/>
        </w:rPr>
      </w:pPr>
    </w:p>
    <w:p w14:paraId="7CD51C4B" w14:textId="77777777" w:rsidR="007158F2" w:rsidRDefault="007158F2">
      <w:pPr>
        <w:rPr>
          <w:b/>
          <w:bCs/>
        </w:rPr>
      </w:pPr>
    </w:p>
    <w:p w14:paraId="659ACF23" w14:textId="77777777" w:rsidR="007158F2" w:rsidRDefault="007158F2">
      <w:pPr>
        <w:rPr>
          <w:b/>
          <w:bCs/>
        </w:rPr>
      </w:pPr>
    </w:p>
    <w:p w14:paraId="6F6E9168" w14:textId="4899292A" w:rsidR="007158F2" w:rsidRDefault="007158F2">
      <w:pPr>
        <w:rPr>
          <w:b/>
          <w:bCs/>
        </w:rPr>
      </w:pPr>
      <w:r w:rsidRPr="007158F2">
        <w:rPr>
          <w:b/>
          <w:bCs/>
        </w:rPr>
        <w:lastRenderedPageBreak/>
        <w:t>APPENDIX 5</w:t>
      </w:r>
    </w:p>
    <w:p w14:paraId="7E8055CC" w14:textId="1D66B3C5" w:rsidR="007158F2" w:rsidRDefault="007158F2">
      <w:pPr>
        <w:rPr>
          <w:b/>
          <w:bCs/>
        </w:rPr>
      </w:pPr>
    </w:p>
    <w:p w14:paraId="0EFD71C0" w14:textId="080B4717" w:rsidR="007158F2" w:rsidRDefault="007158F2">
      <w:pPr>
        <w:rPr>
          <w:b/>
          <w:bCs/>
        </w:rPr>
      </w:pPr>
      <w:r>
        <w:rPr>
          <w:noProof/>
          <w:sz w:val="17"/>
        </w:rPr>
        <w:drawing>
          <wp:anchor distT="0" distB="0" distL="0" distR="0" simplePos="0" relativeHeight="251661312" behindDoc="0" locked="0" layoutInCell="1" allowOverlap="1" wp14:anchorId="6BBDE17B" wp14:editId="33B2EB83">
            <wp:simplePos x="0" y="0"/>
            <wp:positionH relativeFrom="page">
              <wp:align>right</wp:align>
            </wp:positionH>
            <wp:positionV relativeFrom="margin">
              <wp:posOffset>762000</wp:posOffset>
            </wp:positionV>
            <wp:extent cx="7559675" cy="9861550"/>
            <wp:effectExtent l="0" t="0" r="3175" b="6350"/>
            <wp:wrapNone/>
            <wp:docPr id="899199366" name="Image 82" descr="A close-up of a let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A close-up of a letter&#10;&#10;AI-generated content may be incorrect."/>
                    <pic:cNvPicPr/>
                  </pic:nvPicPr>
                  <pic:blipFill rotWithShape="1">
                    <a:blip r:embed="rId5" cstate="print"/>
                    <a:srcRect l="588" t="6560" r="-588" b="3"/>
                    <a:stretch>
                      <a:fillRect/>
                    </a:stretch>
                  </pic:blipFill>
                  <pic:spPr bwMode="auto">
                    <a:xfrm>
                      <a:off x="0" y="0"/>
                      <a:ext cx="7559675" cy="9861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BE81CE3" w14:textId="48C42F96" w:rsidR="007158F2" w:rsidRDefault="007158F2">
      <w:pPr>
        <w:rPr>
          <w:b/>
          <w:bCs/>
        </w:rPr>
      </w:pPr>
    </w:p>
    <w:p w14:paraId="00639A5F" w14:textId="6F6B4625" w:rsidR="007158F2" w:rsidRDefault="007158F2">
      <w:pPr>
        <w:rPr>
          <w:b/>
          <w:bCs/>
        </w:rPr>
      </w:pPr>
    </w:p>
    <w:p w14:paraId="30025C98" w14:textId="44FD698E" w:rsidR="007158F2" w:rsidRDefault="007158F2">
      <w:pPr>
        <w:rPr>
          <w:b/>
          <w:bCs/>
        </w:rPr>
      </w:pPr>
    </w:p>
    <w:p w14:paraId="52E92273" w14:textId="2BD000E7" w:rsidR="007158F2" w:rsidRDefault="007158F2">
      <w:pPr>
        <w:rPr>
          <w:b/>
          <w:bCs/>
        </w:rPr>
      </w:pPr>
    </w:p>
    <w:p w14:paraId="7D9462EE" w14:textId="255B86E5" w:rsidR="007158F2" w:rsidRDefault="007158F2">
      <w:pPr>
        <w:rPr>
          <w:b/>
          <w:bCs/>
        </w:rPr>
      </w:pPr>
    </w:p>
    <w:p w14:paraId="7AFBE7B5" w14:textId="4C602C10" w:rsidR="007158F2" w:rsidRDefault="007158F2">
      <w:pPr>
        <w:rPr>
          <w:b/>
          <w:bCs/>
        </w:rPr>
      </w:pPr>
    </w:p>
    <w:p w14:paraId="4C457245" w14:textId="2AF31F1C" w:rsidR="007158F2" w:rsidRDefault="007158F2">
      <w:pPr>
        <w:rPr>
          <w:b/>
          <w:bCs/>
        </w:rPr>
      </w:pPr>
    </w:p>
    <w:p w14:paraId="1A162053" w14:textId="77777777" w:rsidR="007158F2" w:rsidRDefault="007158F2">
      <w:pPr>
        <w:rPr>
          <w:b/>
          <w:bCs/>
        </w:rPr>
      </w:pPr>
    </w:p>
    <w:p w14:paraId="6334FE18" w14:textId="73E6500A" w:rsidR="007158F2" w:rsidRDefault="007158F2">
      <w:pPr>
        <w:rPr>
          <w:b/>
          <w:bCs/>
        </w:rPr>
      </w:pPr>
    </w:p>
    <w:p w14:paraId="68682944" w14:textId="2BEA5822" w:rsidR="007158F2" w:rsidRDefault="007158F2">
      <w:pPr>
        <w:rPr>
          <w:b/>
          <w:bCs/>
        </w:rPr>
      </w:pPr>
    </w:p>
    <w:p w14:paraId="55686BE7" w14:textId="07E3C981" w:rsidR="007158F2" w:rsidRDefault="007158F2">
      <w:pPr>
        <w:rPr>
          <w:b/>
          <w:bCs/>
        </w:rPr>
      </w:pPr>
    </w:p>
    <w:p w14:paraId="0343942F" w14:textId="198E9AE8" w:rsidR="007158F2" w:rsidRDefault="007158F2">
      <w:pPr>
        <w:rPr>
          <w:b/>
          <w:bCs/>
        </w:rPr>
      </w:pPr>
    </w:p>
    <w:p w14:paraId="420E534A" w14:textId="77777777" w:rsidR="007158F2" w:rsidRDefault="007158F2">
      <w:pPr>
        <w:rPr>
          <w:b/>
          <w:bCs/>
        </w:rPr>
      </w:pPr>
    </w:p>
    <w:p w14:paraId="5FD570CC" w14:textId="77777777" w:rsidR="007158F2" w:rsidRDefault="007158F2">
      <w:pPr>
        <w:rPr>
          <w:b/>
          <w:bCs/>
        </w:rPr>
      </w:pPr>
    </w:p>
    <w:p w14:paraId="50DE4B43" w14:textId="77777777" w:rsidR="007158F2" w:rsidRDefault="007158F2">
      <w:pPr>
        <w:rPr>
          <w:b/>
          <w:bCs/>
        </w:rPr>
      </w:pPr>
    </w:p>
    <w:p w14:paraId="6CFE6106" w14:textId="77777777" w:rsidR="007158F2" w:rsidRDefault="007158F2">
      <w:pPr>
        <w:rPr>
          <w:b/>
          <w:bCs/>
        </w:rPr>
      </w:pPr>
    </w:p>
    <w:p w14:paraId="3AB830FE" w14:textId="77777777" w:rsidR="007158F2" w:rsidRDefault="007158F2">
      <w:pPr>
        <w:rPr>
          <w:b/>
          <w:bCs/>
        </w:rPr>
      </w:pPr>
    </w:p>
    <w:p w14:paraId="72A18D76" w14:textId="77777777" w:rsidR="007158F2" w:rsidRDefault="007158F2">
      <w:pPr>
        <w:rPr>
          <w:b/>
          <w:bCs/>
        </w:rPr>
      </w:pPr>
    </w:p>
    <w:p w14:paraId="7AA45D5B" w14:textId="77777777" w:rsidR="007158F2" w:rsidRDefault="007158F2">
      <w:pPr>
        <w:rPr>
          <w:b/>
          <w:bCs/>
        </w:rPr>
      </w:pPr>
    </w:p>
    <w:p w14:paraId="4E287772" w14:textId="1D0F345A" w:rsidR="007158F2" w:rsidRPr="007158F2" w:rsidRDefault="007158F2">
      <w:pPr>
        <w:rPr>
          <w:b/>
          <w:bCs/>
        </w:rPr>
      </w:pPr>
    </w:p>
    <w:sectPr w:rsidR="007158F2" w:rsidRPr="00715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D15AD"/>
    <w:multiLevelType w:val="multilevel"/>
    <w:tmpl w:val="7088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765AC4"/>
    <w:multiLevelType w:val="multilevel"/>
    <w:tmpl w:val="CB6ED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0171A1"/>
    <w:multiLevelType w:val="multilevel"/>
    <w:tmpl w:val="F744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668987">
    <w:abstractNumId w:val="0"/>
  </w:num>
  <w:num w:numId="2" w16cid:durableId="713039084">
    <w:abstractNumId w:val="1"/>
  </w:num>
  <w:num w:numId="3" w16cid:durableId="771122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F2"/>
    <w:rsid w:val="00014A80"/>
    <w:rsid w:val="001126D8"/>
    <w:rsid w:val="00457F92"/>
    <w:rsid w:val="007158F2"/>
    <w:rsid w:val="00C45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5575"/>
  <w15:chartTrackingRefBased/>
  <w15:docId w15:val="{DF48C0F6-9D3F-4FF5-90F7-BF79BF1D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8F2"/>
    <w:rPr>
      <w:rFonts w:ascii="Arial" w:hAnsi="Arial" w:cs="Arial"/>
      <w:sz w:val="22"/>
      <w:szCs w:val="22"/>
      <w:lang w:val="en-IN"/>
    </w:rPr>
  </w:style>
  <w:style w:type="paragraph" w:styleId="Heading1">
    <w:name w:val="heading 1"/>
    <w:basedOn w:val="Normal"/>
    <w:next w:val="Normal"/>
    <w:link w:val="Heading1Char"/>
    <w:uiPriority w:val="9"/>
    <w:qFormat/>
    <w:rsid w:val="00715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5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5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8F2"/>
    <w:rPr>
      <w:rFonts w:eastAsiaTheme="majorEastAsia" w:cstheme="majorBidi"/>
      <w:color w:val="272727" w:themeColor="text1" w:themeTint="D8"/>
    </w:rPr>
  </w:style>
  <w:style w:type="paragraph" w:styleId="Title">
    <w:name w:val="Title"/>
    <w:basedOn w:val="Normal"/>
    <w:next w:val="Normal"/>
    <w:link w:val="TitleChar"/>
    <w:uiPriority w:val="10"/>
    <w:qFormat/>
    <w:rsid w:val="00715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8F2"/>
    <w:pPr>
      <w:spacing w:before="160"/>
      <w:jc w:val="center"/>
    </w:pPr>
    <w:rPr>
      <w:i/>
      <w:iCs/>
      <w:color w:val="404040" w:themeColor="text1" w:themeTint="BF"/>
    </w:rPr>
  </w:style>
  <w:style w:type="character" w:customStyle="1" w:styleId="QuoteChar">
    <w:name w:val="Quote Char"/>
    <w:basedOn w:val="DefaultParagraphFont"/>
    <w:link w:val="Quote"/>
    <w:uiPriority w:val="29"/>
    <w:rsid w:val="007158F2"/>
    <w:rPr>
      <w:i/>
      <w:iCs/>
      <w:color w:val="404040" w:themeColor="text1" w:themeTint="BF"/>
    </w:rPr>
  </w:style>
  <w:style w:type="paragraph" w:styleId="ListParagraph">
    <w:name w:val="List Paragraph"/>
    <w:basedOn w:val="Normal"/>
    <w:uiPriority w:val="34"/>
    <w:qFormat/>
    <w:rsid w:val="007158F2"/>
    <w:pPr>
      <w:ind w:left="720"/>
      <w:contextualSpacing/>
    </w:pPr>
  </w:style>
  <w:style w:type="character" w:styleId="IntenseEmphasis">
    <w:name w:val="Intense Emphasis"/>
    <w:basedOn w:val="DefaultParagraphFont"/>
    <w:uiPriority w:val="21"/>
    <w:qFormat/>
    <w:rsid w:val="007158F2"/>
    <w:rPr>
      <w:i/>
      <w:iCs/>
      <w:color w:val="0F4761" w:themeColor="accent1" w:themeShade="BF"/>
    </w:rPr>
  </w:style>
  <w:style w:type="paragraph" w:styleId="IntenseQuote">
    <w:name w:val="Intense Quote"/>
    <w:basedOn w:val="Normal"/>
    <w:next w:val="Normal"/>
    <w:link w:val="IntenseQuoteChar"/>
    <w:uiPriority w:val="30"/>
    <w:qFormat/>
    <w:rsid w:val="00715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8F2"/>
    <w:rPr>
      <w:i/>
      <w:iCs/>
      <w:color w:val="0F4761" w:themeColor="accent1" w:themeShade="BF"/>
    </w:rPr>
  </w:style>
  <w:style w:type="character" w:styleId="IntenseReference">
    <w:name w:val="Intense Reference"/>
    <w:basedOn w:val="DefaultParagraphFont"/>
    <w:uiPriority w:val="32"/>
    <w:qFormat/>
    <w:rsid w:val="007158F2"/>
    <w:rPr>
      <w:b/>
      <w:bCs/>
      <w:smallCaps/>
      <w:color w:val="0F4761" w:themeColor="accent1" w:themeShade="BF"/>
      <w:spacing w:val="5"/>
    </w:rPr>
  </w:style>
  <w:style w:type="character" w:styleId="Hyperlink">
    <w:name w:val="Hyperlink"/>
    <w:basedOn w:val="DefaultParagraphFont"/>
    <w:uiPriority w:val="99"/>
    <w:unhideWhenUsed/>
    <w:rsid w:val="007158F2"/>
    <w:rPr>
      <w:color w:val="467886" w:themeColor="hyperlink"/>
      <w:u w:val="single"/>
    </w:rPr>
  </w:style>
  <w:style w:type="table" w:styleId="TableGrid">
    <w:name w:val="Table Grid"/>
    <w:basedOn w:val="TableNormal"/>
    <w:uiPriority w:val="39"/>
    <w:rsid w:val="007158F2"/>
    <w:pPr>
      <w:spacing w:after="0" w:line="240" w:lineRule="auto"/>
    </w:pPr>
    <w:rPr>
      <w:rFonts w:ascii="Arial" w:hAnsi="Arial" w:cs="Arial"/>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5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8F2"/>
    <w:rPr>
      <w:rFonts w:ascii="Arial" w:hAnsi="Arial" w:cs="Arial"/>
      <w:sz w:val="22"/>
      <w:szCs w:val="22"/>
      <w:lang w:val="en-IN"/>
    </w:rPr>
  </w:style>
  <w:style w:type="paragraph" w:styleId="Footer">
    <w:name w:val="footer"/>
    <w:basedOn w:val="Normal"/>
    <w:link w:val="FooterChar"/>
    <w:uiPriority w:val="99"/>
    <w:unhideWhenUsed/>
    <w:rsid w:val="00715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8F2"/>
    <w:rPr>
      <w:rFonts w:ascii="Arial" w:hAnsi="Arial" w:cs="Arial"/>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32</Pages>
  <Words>4637</Words>
  <Characters>27546</Characters>
  <Application>Microsoft Office Word</Application>
  <DocSecurity>0</DocSecurity>
  <Lines>2754</Lines>
  <Paragraphs>893</Paragraphs>
  <ScaleCrop>false</ScaleCrop>
  <Company>University of Salford</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Morrin</dc:creator>
  <cp:keywords/>
  <dc:description/>
  <cp:lastModifiedBy>Stephen Morrin</cp:lastModifiedBy>
  <cp:revision>1</cp:revision>
  <dcterms:created xsi:type="dcterms:W3CDTF">2026-03-06T09:48:00Z</dcterms:created>
  <dcterms:modified xsi:type="dcterms:W3CDTF">2026-03-06T10:03:00Z</dcterms:modified>
</cp:coreProperties>
</file>